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54"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54" w:after="283"/>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before="0" w:after="0"/>
        <w:jc w:val="center"/>
        <w:rPr/>
      </w:pPr>
      <w:r>
        <w:rPr/>
      </w:r>
    </w:p>
    <w:p>
      <w:pPr>
        <w:pStyle w:val="TextBody"/>
        <w:bidi w:val="0"/>
        <w:spacing w:lineRule="auto" w:line="300" w:before="0" w:after="2"/>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June 4,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TOURMALINE BIO,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before="0" w:after="0"/>
        <w:jc w:val="left"/>
        <w:rPr/>
      </w:pPr>
      <w:r>
        <w:rPr/>
      </w:r>
    </w:p>
    <w:tbl>
      <w:tblPr>
        <w:tblW w:w="6789" w:type="dxa"/>
        <w:jc w:val="center"/>
        <w:tblInd w:w="0" w:type="dxa"/>
        <w:tblLayout w:type="fixed"/>
        <w:tblCellMar>
          <w:top w:w="28" w:type="dxa"/>
          <w:left w:w="28" w:type="dxa"/>
          <w:bottom w:w="28" w:type="dxa"/>
          <w:right w:w="28" w:type="dxa"/>
        </w:tblCellMar>
      </w:tblPr>
      <w:tblGrid>
        <w:gridCol w:w="1207"/>
        <w:gridCol w:w="1062"/>
        <w:gridCol w:w="1065"/>
        <w:gridCol w:w="175"/>
        <w:gridCol w:w="175"/>
        <w:gridCol w:w="175"/>
        <w:gridCol w:w="162"/>
        <w:gridCol w:w="162"/>
        <w:gridCol w:w="162"/>
        <w:gridCol w:w="162"/>
        <w:gridCol w:w="162"/>
        <w:gridCol w:w="164"/>
        <w:gridCol w:w="572"/>
        <w:gridCol w:w="572"/>
        <w:gridCol w:w="812"/>
      </w:tblGrid>
      <w:tr>
        <w:trPr/>
        <w:tc>
          <w:tcPr>
            <w:tcW w:w="1207"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2"/>
              </w:rPr>
            </w:pPr>
            <w:r>
              <w:rPr>
                <w:rFonts w:ascii="Times New Roman;sans-serif" w:hAnsi="Times New Roman;sans-serif"/>
                <w:b/>
                <w:color w:val="000000"/>
                <w:sz w:val="22"/>
              </w:rPr>
              <w:t>Delaware</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(State or other jurisdiction of </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incorporation or organization)</w:t>
            </w:r>
          </w:p>
        </w:tc>
        <w:tc>
          <w:tcPr>
            <w:tcW w:w="1499" w:type="dxa"/>
            <w:gridSpan w:val="9"/>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2"/>
              </w:rPr>
            </w:pPr>
            <w:r>
              <w:rPr>
                <w:rFonts w:ascii="Times New Roman;sans-serif" w:hAnsi="Times New Roman;sans-serif"/>
                <w:b/>
                <w:color w:val="000000"/>
                <w:sz w:val="22"/>
              </w:rPr>
              <w:t>001-40384</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File Number)</w:t>
            </w:r>
          </w:p>
        </w:tc>
        <w:tc>
          <w:tcPr>
            <w:tcW w:w="1956"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2"/>
              </w:rPr>
            </w:pPr>
            <w:r>
              <w:rPr>
                <w:rFonts w:ascii="Times New Roman;sans-serif" w:hAnsi="Times New Roman;sans-serif"/>
                <w:b/>
                <w:color w:val="000000"/>
                <w:sz w:val="22"/>
              </w:rPr>
              <w:t>83-2377352</w:t>
            </w:r>
          </w:p>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 xml:space="preserve">(I.R.S. Employer </w:t>
            </w:r>
          </w:p>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Identification No.)</w:t>
            </w:r>
          </w:p>
        </w:tc>
      </w:tr>
      <w:tr>
        <w:trPr/>
        <w:tc>
          <w:tcPr>
            <w:tcW w:w="3859"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22"/>
              </w:rPr>
            </w:pPr>
            <w:r>
              <w:rPr>
                <w:rFonts w:ascii="Times New Roman;sans-serif" w:hAnsi="Times New Roman;sans-serif"/>
                <w:b/>
                <w:color w:val="000000"/>
                <w:sz w:val="22"/>
              </w:rPr>
              <w:t>27 West 24th Street, Suite 702</w:t>
            </w:r>
          </w:p>
          <w:p>
            <w:pPr>
              <w:pStyle w:val="TableContents"/>
              <w:bidi w:val="0"/>
              <w:spacing w:lineRule="auto" w:line="300" w:before="0" w:after="2"/>
              <w:jc w:val="center"/>
              <w:rPr>
                <w:rFonts w:ascii="Times New Roman;sans-serif" w:hAnsi="Times New Roman;sans-serif"/>
                <w:b/>
                <w:color w:val="000000"/>
                <w:sz w:val="22"/>
              </w:rPr>
            </w:pPr>
            <w:r>
              <w:rPr>
                <w:rFonts w:ascii="Times New Roman;sans-serif" w:hAnsi="Times New Roman;sans-serif"/>
                <w:b/>
                <w:color w:val="000000"/>
                <w:sz w:val="22"/>
              </w:rPr>
              <w:t>New York, NY</w:t>
            </w:r>
          </w:p>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22"/>
              </w:rPr>
            </w:pPr>
            <w:r>
              <w:rPr>
                <w:rFonts w:ascii="Times New Roman;sans-serif" w:hAnsi="Times New Roman;sans-serif"/>
                <w:b/>
                <w:color w:val="000000"/>
                <w:sz w:val="22"/>
              </w:rPr>
              <w:t>10010</w:t>
            </w:r>
          </w:p>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(Zip Code)</w:t>
            </w:r>
          </w:p>
        </w:tc>
      </w:tr>
      <w:tr>
        <w:trPr/>
        <w:tc>
          <w:tcPr>
            <w:tcW w:w="6789"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22"/>
              </w:rPr>
            </w:pPr>
            <w:r>
              <w:rPr>
                <w:rFonts w:ascii="Times New Roman;sans-serif" w:hAnsi="Times New Roman;sans-serif"/>
                <w:b/>
                <w:color w:val="000000"/>
                <w:sz w:val="22"/>
              </w:rPr>
              <w:t>Registrant's telephone number, including area code: (646) 481-9832</w:t>
            </w:r>
          </w:p>
        </w:tc>
      </w:tr>
      <w:tr>
        <w:trPr/>
        <w:tc>
          <w:tcPr>
            <w:tcW w:w="6789"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22"/>
              </w:rPr>
            </w:pPr>
            <w:r>
              <w:rPr>
                <w:rFonts w:ascii="Times New Roman;sans-serif" w:hAnsi="Times New Roman;sans-serif"/>
                <w:b/>
                <w:color w:val="000000"/>
                <w:sz w:val="22"/>
              </w:rPr>
              <w:t>Not Applicable</w:t>
            </w:r>
          </w:p>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(Former Name or Former Address, if Changed Since Last Report)</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216"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tbl>
      <w:tblPr>
        <w:tblW w:w="9356" w:type="dxa"/>
        <w:jc w:val="left"/>
        <w:tblInd w:w="0" w:type="dxa"/>
        <w:tblLayout w:type="fixed"/>
        <w:tblCellMar>
          <w:top w:w="28" w:type="dxa"/>
          <w:left w:w="28" w:type="dxa"/>
          <w:bottom w:w="28" w:type="dxa"/>
          <w:right w:w="28" w:type="dxa"/>
        </w:tblCellMar>
      </w:tblPr>
      <w:tblGrid>
        <w:gridCol w:w="1345"/>
        <w:gridCol w:w="1180"/>
        <w:gridCol w:w="1180"/>
        <w:gridCol w:w="308"/>
        <w:gridCol w:w="308"/>
        <w:gridCol w:w="308"/>
        <w:gridCol w:w="308"/>
        <w:gridCol w:w="308"/>
        <w:gridCol w:w="308"/>
        <w:gridCol w:w="308"/>
        <w:gridCol w:w="308"/>
        <w:gridCol w:w="308"/>
        <w:gridCol w:w="842"/>
        <w:gridCol w:w="842"/>
        <w:gridCol w:w="1195"/>
      </w:tblGrid>
      <w:tr>
        <w:trPr/>
        <w:tc>
          <w:tcPr>
            <w:tcW w:w="134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9356" w:type="dxa"/>
            <w:gridSpan w:val="15"/>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Trading </w:t>
            </w:r>
          </w:p>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Symbol</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Name of each exchange </w:t>
            </w:r>
          </w:p>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TRML</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8"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lineRule="auto" w:line="288" w:before="108"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tbl>
      <w:tblPr>
        <w:tblW w:w="5458" w:type="dxa"/>
        <w:jc w:val="left"/>
        <w:tblInd w:w="0" w:type="dxa"/>
        <w:tblLayout w:type="fixed"/>
        <w:tblCellMar>
          <w:top w:w="28" w:type="dxa"/>
          <w:left w:w="28" w:type="dxa"/>
          <w:bottom w:w="28" w:type="dxa"/>
          <w:right w:w="28" w:type="dxa"/>
        </w:tblCellMar>
      </w:tblPr>
      <w:tblGrid>
        <w:gridCol w:w="331"/>
        <w:gridCol w:w="290"/>
        <w:gridCol w:w="293"/>
        <w:gridCol w:w="1329"/>
        <w:gridCol w:w="1329"/>
        <w:gridCol w:w="188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Item 5.07</w:t>
            </w:r>
          </w:p>
        </w:tc>
        <w:tc>
          <w:tcPr>
            <w:tcW w:w="45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Submission of Matters to a Vote of Security Holders.</w:t>
            </w:r>
          </w:p>
        </w:tc>
      </w:tr>
    </w:tbl>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4, 2025, Tourmaline Bio, Inc. (the “Company”) held its 2025 annual meeting of stockholders (the “Annual Meeting”). A total of 25,684,479 shares of common stock were entitled to vote as of April 15, 2025, the record date for the Annual Meeting. There were 20,804,265 shares of common stock present virtually or represented by proxy at the Annual Meeting, constituting a quorum to conduct business.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proposals were voted upon at the Annual Meeting: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00"/>
        <w:gridCol w:w="352"/>
        <w:gridCol w:w="353"/>
        <w:gridCol w:w="109"/>
        <w:gridCol w:w="109"/>
        <w:gridCol w:w="109"/>
        <w:gridCol w:w="2569"/>
        <w:gridCol w:w="2569"/>
        <w:gridCol w:w="3635"/>
      </w:tblGrid>
      <w:tr>
        <w:trPr/>
        <w:tc>
          <w:tcPr>
            <w:tcW w:w="40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10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No.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Election of Dr. Caley Castelein and Aaron Kantoff as Class I directors to the Company’s board of directors, each to serve until the 2028 annual meeting of stockholders; and</w:t>
            </w:r>
          </w:p>
        </w:tc>
      </w:tr>
      <w:tr>
        <w:trPr/>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No.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Ratification of the selection of Deloitte &amp; Touche LLP as the Company’s independent registered public accounting firm for the fiscal year ending December 31, 2025.</w:t>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4, 2025, Mediant Communications, Inc., the independent inspector of election for the Annual Meeting, delivered its final report as to the voting results for each of these proposals. The following are the final voting results for each of the items voted on at the Annual Meeting:</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Proposal 1. Election of Class I Directors.</w:t>
      </w:r>
    </w:p>
    <w:p>
      <w:pPr>
        <w:pStyle w:val="TextBody"/>
        <w:bidi w:val="0"/>
        <w:spacing w:before="0" w:after="0"/>
        <w:jc w:val="left"/>
        <w:rPr/>
      </w:pPr>
      <w:r>
        <w:rPr/>
      </w:r>
    </w:p>
    <w:tbl>
      <w:tblPr>
        <w:tblW w:w="6785" w:type="dxa"/>
        <w:jc w:val="left"/>
        <w:tblInd w:w="0" w:type="dxa"/>
        <w:tblLayout w:type="fixed"/>
        <w:tblCellMar>
          <w:top w:w="28" w:type="dxa"/>
          <w:left w:w="28" w:type="dxa"/>
          <w:bottom w:w="28" w:type="dxa"/>
          <w:right w:w="28" w:type="dxa"/>
        </w:tblCellMar>
      </w:tblPr>
      <w:tblGrid>
        <w:gridCol w:w="612"/>
        <w:gridCol w:w="537"/>
        <w:gridCol w:w="545"/>
        <w:gridCol w:w="109"/>
        <w:gridCol w:w="109"/>
        <w:gridCol w:w="109"/>
        <w:gridCol w:w="344"/>
        <w:gridCol w:w="344"/>
        <w:gridCol w:w="348"/>
        <w:gridCol w:w="109"/>
        <w:gridCol w:w="109"/>
        <w:gridCol w:w="109"/>
        <w:gridCol w:w="464"/>
        <w:gridCol w:w="464"/>
        <w:gridCol w:w="466"/>
        <w:gridCol w:w="109"/>
        <w:gridCol w:w="109"/>
        <w:gridCol w:w="109"/>
        <w:gridCol w:w="492"/>
        <w:gridCol w:w="492"/>
        <w:gridCol w:w="696"/>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Votes 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Caley Castelein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14,926,508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2,653,512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3,224,245</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Aaron Kantoff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16,496,989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1,083,031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3,224,245</w:t>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votes set forth above, the stockholders of the Company elected Dr. Caley Castelein and Aaron Kantoff as Class I directors to the Company’s board of directors, each to serve until the 2028 annual meeting of stockholders.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Proposal No. 2. Ratification of Selection of Deloitte &amp; Touche LLP.</w:t>
      </w:r>
    </w:p>
    <w:p>
      <w:pPr>
        <w:pStyle w:val="TextBody"/>
        <w:bidi w:val="0"/>
        <w:spacing w:before="0" w:after="0"/>
        <w:jc w:val="both"/>
        <w:rPr/>
      </w:pPr>
      <w:r>
        <w:rPr/>
      </w:r>
    </w:p>
    <w:tbl>
      <w:tblPr>
        <w:tblW w:w="4090" w:type="dxa"/>
        <w:jc w:val="left"/>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329"/>
        <w:gridCol w:w="329"/>
        <w:gridCol w:w="468"/>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Abstentions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20,799,312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1,696</w:t>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votes set forth above, the stockholders of the Company ratified the selection of Deloitte &amp; Touche LLP as the Company’s independent registered public accounting firm to serve for the year ending December 31, 2025.</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4796" w:type="dxa"/>
        <w:jc w:val="left"/>
        <w:tblInd w:w="0" w:type="dxa"/>
        <w:tblLayout w:type="fixed"/>
        <w:tblCellMar>
          <w:top w:w="28" w:type="dxa"/>
          <w:left w:w="28" w:type="dxa"/>
          <w:bottom w:w="28" w:type="dxa"/>
          <w:right w:w="28" w:type="dxa"/>
        </w:tblCellMar>
      </w:tblPr>
      <w:tblGrid>
        <w:gridCol w:w="591"/>
        <w:gridCol w:w="520"/>
        <w:gridCol w:w="523"/>
        <w:gridCol w:w="439"/>
        <w:gridCol w:w="439"/>
        <w:gridCol w:w="439"/>
        <w:gridCol w:w="539"/>
        <w:gridCol w:w="539"/>
        <w:gridCol w:w="76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TOURMALINE BIO,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June 6, 2025</w:t>
            </w:r>
          </w:p>
        </w:tc>
        <w:tc>
          <w:tcPr>
            <w:tcW w:w="131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8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 Middlekauff</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 Middlekauff</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8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Secretary</w:t>
            </w:r>
          </w:p>
        </w:tc>
      </w:tr>
    </w:tbl>
    <w:p>
      <w:pPr>
        <w:pStyle w:val="TextBody"/>
        <w:bidi w:val="0"/>
        <w:spacing w:before="108"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683</Words>
  <Characters>3817</Characters>
  <CharactersWithSpaces>4414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