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10, 2024</w:t>
      </w:r>
    </w:p>
    <w:p>
      <w:pPr>
        <w:spacing w:after="0" w:line="2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TOURMALINE BIO, INC.</w:t>
      </w:r>
    </w:p>
    <w:p>
      <w:pPr>
        <w:sectPr>
          <w:pgSz w:w="11900" w:h="16838" w:orient="portrait"/>
          <w:cols w:equalWidth="0" w:num="1">
            <w:col w:w="11240"/>
          </w:cols>
          <w:pgMar w:left="320" w:top="12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left="840"/>
        <w:spacing w:after="0"/>
        <w:rPr>
          <w:sz w:val="20"/>
          <w:szCs w:val="20"/>
          <w:color w:val="auto"/>
        </w:rPr>
      </w:pPr>
      <w:r>
        <w:rPr>
          <w:rFonts w:ascii="Times New Roman" w:cs="Times New Roman" w:eastAsia="Times New Roman" w:hAnsi="Times New Roman"/>
          <w:sz w:val="20"/>
          <w:szCs w:val="20"/>
          <w:b w:val="1"/>
          <w:bCs w:val="1"/>
          <w:color w:val="auto"/>
        </w:rPr>
        <w:t>Delaware</w:t>
      </w:r>
    </w:p>
    <w:p>
      <w:pPr>
        <w:spacing w:after="0" w:line="31" w:lineRule="exact"/>
        <w:rPr>
          <w:sz w:val="24"/>
          <w:szCs w:val="24"/>
          <w:color w:val="auto"/>
        </w:rPr>
      </w:pPr>
    </w:p>
    <w:p>
      <w:pPr>
        <w:jc w:val="both"/>
        <w:ind w:left="840" w:firstLine="45"/>
        <w:spacing w:after="0" w:line="275" w:lineRule="auto"/>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93" w:lineRule="exact"/>
        <w:rPr>
          <w:sz w:val="24"/>
          <w:szCs w:val="24"/>
          <w:color w:val="auto"/>
        </w:rPr>
      </w:pPr>
    </w:p>
    <w:tbl>
      <w:tblPr>
        <w:tblLayout w:type="fixed"/>
        <w:tblInd w:w="1520" w:type="dxa"/>
        <w:tblCellMar>
          <w:top w:w="0" w:type="dxa"/>
          <w:left w:w="0" w:type="dxa"/>
          <w:bottom w:w="0" w:type="dxa"/>
          <w:right w:w="0" w:type="dxa"/>
        </w:tblCellMar>
      </w:tblPr>
      <w:tr>
        <w:trPr>
          <w:trHeight w:val="240"/>
        </w:trPr>
        <w:tc>
          <w:tcPr>
            <w:tcW w:w="2240" w:type="dxa"/>
            <w:vAlign w:val="bottom"/>
          </w:tcPr>
          <w:p>
            <w:pPr>
              <w:jc w:val="center"/>
              <w:ind w:right="1213"/>
              <w:spacing w:after="0"/>
              <w:rPr>
                <w:sz w:val="20"/>
                <w:szCs w:val="20"/>
                <w:color w:val="auto"/>
              </w:rPr>
            </w:pPr>
            <w:r>
              <w:rPr>
                <w:rFonts w:ascii="Times New Roman" w:cs="Times New Roman" w:eastAsia="Times New Roman" w:hAnsi="Times New Roman"/>
                <w:sz w:val="20"/>
                <w:szCs w:val="20"/>
                <w:b w:val="1"/>
                <w:bCs w:val="1"/>
                <w:color w:val="auto"/>
                <w:w w:val="99"/>
              </w:rPr>
              <w:t>001-40384</w:t>
            </w:r>
          </w:p>
        </w:tc>
        <w:tc>
          <w:tcPr>
            <w:tcW w:w="2600" w:type="dxa"/>
            <w:vAlign w:val="bottom"/>
          </w:tcPr>
          <w:p>
            <w:pPr>
              <w:jc w:val="center"/>
              <w:ind w:left="1233"/>
              <w:spacing w:after="0"/>
              <w:rPr>
                <w:sz w:val="20"/>
                <w:szCs w:val="20"/>
                <w:color w:val="auto"/>
              </w:rPr>
            </w:pPr>
            <w:r>
              <w:rPr>
                <w:rFonts w:ascii="Times New Roman" w:cs="Times New Roman" w:eastAsia="Times New Roman" w:hAnsi="Times New Roman"/>
                <w:sz w:val="20"/>
                <w:szCs w:val="20"/>
                <w:b w:val="1"/>
                <w:bCs w:val="1"/>
                <w:color w:val="auto"/>
                <w:w w:val="99"/>
              </w:rPr>
              <w:t>83-2377352</w:t>
            </w:r>
          </w:p>
        </w:tc>
      </w:tr>
      <w:tr>
        <w:trPr>
          <w:trHeight w:val="203"/>
        </w:trPr>
        <w:tc>
          <w:tcPr>
            <w:tcW w:w="2240" w:type="dxa"/>
            <w:vAlign w:val="bottom"/>
          </w:tcPr>
          <w:p>
            <w:pPr>
              <w:jc w:val="center"/>
              <w:ind w:right="1233"/>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2600" w:type="dxa"/>
            <w:vAlign w:val="bottom"/>
          </w:tcPr>
          <w:p>
            <w:pPr>
              <w:jc w:val="center"/>
              <w:ind w:left="1233"/>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39"/>
        </w:trPr>
        <w:tc>
          <w:tcPr>
            <w:tcW w:w="2240" w:type="dxa"/>
            <w:vAlign w:val="bottom"/>
          </w:tcPr>
          <w:p>
            <w:pPr>
              <w:jc w:val="center"/>
              <w:ind w:right="1233"/>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2600" w:type="dxa"/>
            <w:vAlign w:val="bottom"/>
          </w:tcPr>
          <w:p>
            <w:pPr>
              <w:jc w:val="center"/>
              <w:ind w:left="1233"/>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bl>
    <w:p>
      <w:pPr>
        <w:spacing w:after="0" w:line="33" w:lineRule="exact"/>
        <w:rPr>
          <w:sz w:val="24"/>
          <w:szCs w:val="24"/>
          <w:color w:val="auto"/>
        </w:rPr>
      </w:pPr>
    </w:p>
    <w:p>
      <w:pPr>
        <w:sectPr>
          <w:pgSz w:w="11900" w:h="16838" w:orient="portrait"/>
          <w:cols w:equalWidth="0" w:num="2">
            <w:col w:w="2940" w:space="700"/>
            <w:col w:w="7600"/>
          </w:cols>
          <w:pgMar w:left="320" w:top="1240" w:right="33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20"/>
          <w:szCs w:val="20"/>
          <w:b w:val="1"/>
          <w:bCs w:val="1"/>
          <w:color w:val="auto"/>
        </w:rPr>
        <w:t>27 West 24th Street, Suite 702</w:t>
      </w:r>
    </w:p>
    <w:p>
      <w:pPr>
        <w:spacing w:after="0" w:line="32" w:lineRule="exact"/>
        <w:rPr>
          <w:sz w:val="24"/>
          <w:szCs w:val="24"/>
          <w:color w:val="auto"/>
        </w:rPr>
      </w:pPr>
    </w:p>
    <w:p>
      <w:pPr>
        <w:ind w:left="2060"/>
        <w:spacing w:after="0"/>
        <w:tabs>
          <w:tab w:leader="none" w:pos="8320" w:val="left"/>
        </w:tabs>
        <w:rPr>
          <w:sz w:val="20"/>
          <w:szCs w:val="20"/>
          <w:color w:val="auto"/>
        </w:rPr>
      </w:pPr>
      <w:r>
        <w:rPr>
          <w:rFonts w:ascii="Times New Roman" w:cs="Times New Roman" w:eastAsia="Times New Roman" w:hAnsi="Times New Roman"/>
          <w:sz w:val="20"/>
          <w:szCs w:val="20"/>
          <w:b w:val="1"/>
          <w:bCs w:val="1"/>
          <w:color w:val="auto"/>
        </w:rPr>
        <w:t>New York, NY</w:t>
      </w:r>
      <w:r>
        <w:rPr>
          <w:sz w:val="20"/>
          <w:szCs w:val="20"/>
          <w:color w:val="auto"/>
        </w:rPr>
        <w:tab/>
      </w:r>
      <w:r>
        <w:rPr>
          <w:rFonts w:ascii="Times New Roman" w:cs="Times New Roman" w:eastAsia="Times New Roman" w:hAnsi="Times New Roman"/>
          <w:sz w:val="19"/>
          <w:szCs w:val="19"/>
          <w:b w:val="1"/>
          <w:bCs w:val="1"/>
          <w:color w:val="auto"/>
        </w:rPr>
        <w:t>10010</w:t>
      </w:r>
    </w:p>
    <w:p>
      <w:pPr>
        <w:spacing w:after="0" w:line="11" w:lineRule="exact"/>
        <w:rPr>
          <w:sz w:val="24"/>
          <w:szCs w:val="24"/>
          <w:color w:val="auto"/>
        </w:rPr>
      </w:pPr>
    </w:p>
    <w:p>
      <w:pPr>
        <w:ind w:left="1320"/>
        <w:spacing w:after="0"/>
        <w:tabs>
          <w:tab w:leader="none" w:pos="8180" w:val="left"/>
        </w:tabs>
        <w:rPr>
          <w:sz w:val="20"/>
          <w:szCs w:val="20"/>
          <w:color w:val="auto"/>
        </w:rPr>
      </w:pPr>
      <w:r>
        <w:rPr>
          <w:rFonts w:ascii="Times New Roman" w:cs="Times New Roman" w:eastAsia="Times New Roman" w:hAnsi="Times New Roman"/>
          <w:sz w:val="16"/>
          <w:szCs w:val="16"/>
          <w:b w:val="1"/>
          <w:bCs w:val="1"/>
          <w:color w:val="auto"/>
        </w:rPr>
        <w:t>(Address of principal executive offices)</w:t>
      </w:r>
      <w:r>
        <w:rPr>
          <w:sz w:val="20"/>
          <w:szCs w:val="20"/>
          <w:color w:val="auto"/>
        </w:rPr>
        <w:tab/>
      </w:r>
      <w:r>
        <w:rPr>
          <w:rFonts w:ascii="Times New Roman" w:cs="Times New Roman" w:eastAsia="Times New Roman" w:hAnsi="Times New Roman"/>
          <w:sz w:val="16"/>
          <w:szCs w:val="16"/>
          <w:b w:val="1"/>
          <w:bCs w:val="1"/>
          <w:color w:val="auto"/>
        </w:rPr>
        <w:t>(Zip Code)</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(646) 481-9832</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2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1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39"/>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8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Symbol</w:t>
            </w:r>
          </w:p>
        </w:tc>
        <w:tc>
          <w:tcPr>
            <w:tcW w:w="100" w:type="dxa"/>
            <w:vAlign w:val="bottom"/>
          </w:tcPr>
          <w:p>
            <w:pPr>
              <w:spacing w:after="0"/>
              <w:rPr>
                <w:sz w:val="20"/>
                <w:szCs w:val="20"/>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 which registered</w:t>
            </w:r>
          </w:p>
        </w:tc>
      </w:tr>
      <w:tr>
        <w:trPr>
          <w:trHeight w:val="243"/>
        </w:trPr>
        <w:tc>
          <w:tcPr>
            <w:tcW w:w="4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TRML</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98"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 w:lineRule="exact"/>
        <w:rPr>
          <w:sz w:val="24"/>
          <w:szCs w:val="24"/>
          <w:color w:val="auto"/>
        </w:rPr>
      </w:pPr>
    </w:p>
    <w:p>
      <w:pPr>
        <w:ind w:left="894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10, 2024, Tourmaline Bio, Inc. (the “Company”) issued a press release titled “Tourmaline Bio Highlights Cardiovascular Inflammation Focus and Announces Key Clinical and Strategic Updates at Investor Day.” The Company will host its Investor Day via webcast today, Tuesday, December 10, 2024, at 10:00 am, Eastern Time.</w:t>
      </w:r>
    </w:p>
    <w:p>
      <w:pPr>
        <w:spacing w:after="0" w:line="19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will be posting to its website the presentation to be used in the Company’s Investor Day. The presentation and replays of the webcast will be available on the Company’s website at https://ir.tourmalinebio.com.</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copy of the press release is furnished as Exhibit 99.1 to this Current Report on Form 8-K and is incorporated by reference herein. The information furnished under this Item 7.01, including Exhibit 99.1, shall not be deemed “filed” for purposes of Section 18 of the Securities Exchange Act of 1934, as amended (the “Exchange Act”), or subject to the liabilities of that section, nor shall it be deemed to be incorporated by reference into any of the Company’s filings with the Securities and Exchange Commission under the Exchange Act or the Securities Act of 1933, as amended, whether made before or after the date hereof, regardless of any general incorporation language in such a filing, except as otherwise expressly stated in such filing.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10, 2024, the Company will host its Investor Day, during which it will outline progress across its pipeline and provide updates on its strategic priorities. The updates to be provided include: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2 TRANQUILITY Trial Progress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announced the over-enrollment of its Phase 2 TRANQUILITY trial, with a total of 143 patients enrolled as compared to 120 patients originally anticipated. The Company expects to report topline data from this trial in the second quarter of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 Expansion in Cardiovascular Inflammation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announced the nomination of abdominal aortic aneurysm (“AAA”) as an additional indication within its cardiovascular inflammation disease focus for pacibekitug. The Company expects to provide additional details on a planned Phase 2 proof-of-concept trial in AAA after topline results from the Phase 2 TRANQUILITY trial are reported in the second quarter of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 on Thyroid Eye Disease (TED) Development Program</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announced it expects to report topline data from the Phase 2b spiriTED trial in the second half of 2025 and that the initiation of a Phase 3 trial in TED is expected to be contingent on positive results from the spiriTED trial. Tourmaline plans to provide additional information on its future development plans in TED at that time.</w:t>
      </w:r>
    </w:p>
    <w:p>
      <w:pPr>
        <w:spacing w:after="0" w:line="21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as amended, including statements regarding the Company’s expectations regarding the development and potential therapeutic benefits of pacibekitug; the timing of initiation, progress and results of the Company’s current and future clinical trials for pacibekitug, including reporting of data therefrom and additional details regarding the planning thereof; the timing of future announcements regarding the Company’s development plans and the content of such announcements; the timing of a planned Phase 2 proof-of-concept clinical trial and of Phase 3 clinical trial readiness; and the timing and potential to expand pacibekitug into additional indications. Because such statements are subject to risks and uncertainties, actual results may differ materially from those expressed or implied by such forward-looking statements. Many factors could cause the actual results, performance or achievements that may be expressed or implied by such forward-looking statements to vary from those described herein should one or more of these risks or uncertainties materialize, including those risk factors discussed or referred to in the Company’s filings with the SEC, including the “Risk Factors” section of the Company’s Quarterly Report on Form 10-Q, filed with the SEC on November 7, 2024, and its other documents subsequently filed with or furnished to the SEC. All forward-looking statements contained in this Current Report on Form 8-K speak only as of the date on which they were made. Except to the extent required by law, the Company undertakes no obligation to update such statements to reflect events that occur or circumstances that exist after the date on which they were made.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1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9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41"/>
        </w:trPr>
        <w:tc>
          <w:tcPr>
            <w:tcW w:w="1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5320" w:type="dxa"/>
            <w:vAlign w:val="bottom"/>
            <w:tcBorders>
              <w:bottom w:val="single" w:sz="8" w:color="auto"/>
            </w:tcBorders>
          </w:tcPr>
          <w:p>
            <w:pPr>
              <w:spacing w:after="0"/>
              <w:rPr>
                <w:sz w:val="3"/>
                <w:szCs w:val="3"/>
                <w:color w:val="auto"/>
              </w:rPr>
            </w:pPr>
          </w:p>
        </w:tc>
        <w:tc>
          <w:tcPr>
            <w:tcW w:w="1220" w:type="dxa"/>
            <w:vAlign w:val="bottom"/>
          </w:tcPr>
          <w:p>
            <w:pPr>
              <w:spacing w:after="0"/>
              <w:rPr>
                <w:sz w:val="3"/>
                <w:szCs w:val="3"/>
                <w:color w:val="auto"/>
              </w:rPr>
            </w:pPr>
          </w:p>
        </w:tc>
      </w:tr>
      <w:tr>
        <w:trPr>
          <w:trHeight w:val="196"/>
        </w:trPr>
        <w:tc>
          <w:tcPr>
            <w:tcW w:w="16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December 10, 2024</w:t>
            </w:r>
          </w:p>
        </w:tc>
        <w:tc>
          <w:tcPr>
            <w:tcW w:w="6540" w:type="dxa"/>
            <w:vAlign w:val="bottom"/>
            <w:gridSpan w:val="2"/>
          </w:tcPr>
          <w:p>
            <w:pPr>
              <w:spacing w:after="0"/>
              <w:rPr>
                <w:sz w:val="17"/>
                <w:szCs w:val="17"/>
                <w:color w:val="auto"/>
              </w:rPr>
            </w:pPr>
          </w:p>
        </w:tc>
      </w:tr>
      <w:tr>
        <w:trPr>
          <w:trHeight w:val="304"/>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1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800" w:type="dxa"/>
            <w:vAlign w:val="bottom"/>
          </w:tcPr>
          <w:p>
            <w:pPr>
              <w:spacing w:after="0"/>
              <w:rPr>
                <w:sz w:val="22"/>
                <w:szCs w:val="22"/>
                <w:color w:val="auto"/>
              </w:rPr>
            </w:pPr>
          </w:p>
        </w:tc>
        <w:tc>
          <w:tcPr>
            <w:tcW w:w="7400" w:type="dxa"/>
            <w:vAlign w:val="bottom"/>
            <w:gridSpan w:val="2"/>
          </w:tcPr>
          <w:p>
            <w:pPr>
              <w:ind w:left="1960"/>
              <w:spacing w:after="0"/>
              <w:rPr>
                <w:sz w:val="20"/>
                <w:szCs w:val="20"/>
                <w:color w:val="auto"/>
              </w:rPr>
            </w:pPr>
            <w:r>
              <w:rPr>
                <w:rFonts w:ascii="Times New Roman" w:cs="Times New Roman" w:eastAsia="Times New Roman" w:hAnsi="Times New Roman"/>
                <w:sz w:val="20"/>
                <w:szCs w:val="20"/>
                <w:b w:val="1"/>
                <w:bCs w:val="1"/>
                <w:color w:val="auto"/>
              </w:rPr>
              <w:t>TOURMALINE BIO, INC.</w:t>
            </w:r>
          </w:p>
        </w:tc>
        <w:tc>
          <w:tcPr>
            <w:tcW w:w="0" w:type="dxa"/>
            <w:vAlign w:val="bottom"/>
          </w:tcPr>
          <w:p>
            <w:pPr>
              <w:spacing w:after="0"/>
              <w:rPr>
                <w:sz w:val="1"/>
                <w:szCs w:val="1"/>
                <w:color w:val="auto"/>
              </w:rPr>
            </w:pPr>
          </w:p>
        </w:tc>
      </w:tr>
      <w:tr>
        <w:trPr>
          <w:trHeight w:val="5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10, 2024</w:t>
            </w:r>
          </w:p>
        </w:tc>
        <w:tc>
          <w:tcPr>
            <w:tcW w:w="2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Ryan Robinson</w:t>
            </w:r>
          </w:p>
        </w:tc>
        <w:tc>
          <w:tcPr>
            <w:tcW w:w="0" w:type="dxa"/>
            <w:vAlign w:val="bottom"/>
          </w:tcPr>
          <w:p>
            <w:pPr>
              <w:spacing w:after="0"/>
              <w:rPr>
                <w:sz w:val="1"/>
                <w:szCs w:val="1"/>
                <w:color w:val="auto"/>
              </w:rPr>
            </w:pPr>
          </w:p>
        </w:tc>
      </w:tr>
      <w:tr>
        <w:trPr>
          <w:trHeight w:val="41"/>
        </w:trPr>
        <w:tc>
          <w:tcPr>
            <w:tcW w:w="3800" w:type="dxa"/>
            <w:vAlign w:val="bottom"/>
          </w:tcPr>
          <w:p>
            <w:pPr>
              <w:spacing w:after="0"/>
              <w:rPr>
                <w:sz w:val="3"/>
                <w:szCs w:val="3"/>
                <w:color w:val="auto"/>
              </w:rPr>
            </w:pPr>
          </w:p>
        </w:tc>
        <w:tc>
          <w:tcPr>
            <w:tcW w:w="2720" w:type="dxa"/>
            <w:vAlign w:val="bottom"/>
            <w:vMerge w:val="restart"/>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272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Ryan Robinson</w:t>
            </w:r>
          </w:p>
        </w:tc>
        <w:tc>
          <w:tcPr>
            <w:tcW w:w="0" w:type="dxa"/>
            <w:vAlign w:val="bottom"/>
          </w:tcPr>
          <w:p>
            <w:pPr>
              <w:spacing w:after="0"/>
              <w:rPr>
                <w:sz w:val="1"/>
                <w:szCs w:val="1"/>
                <w:color w:val="auto"/>
              </w:rPr>
            </w:pPr>
          </w:p>
        </w:tc>
      </w:tr>
      <w:tr>
        <w:trPr>
          <w:trHeight w:val="283"/>
        </w:trPr>
        <w:tc>
          <w:tcPr>
            <w:tcW w:w="3800" w:type="dxa"/>
            <w:vAlign w:val="bottom"/>
          </w:tcPr>
          <w:p>
            <w:pPr>
              <w:spacing w:after="0"/>
              <w:rPr>
                <w:sz w:val="24"/>
                <w:szCs w:val="24"/>
                <w:color w:val="auto"/>
              </w:rPr>
            </w:pPr>
          </w:p>
        </w:tc>
        <w:tc>
          <w:tcPr>
            <w:tcW w:w="27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sectPr>
      </w:pPr>
    </w:p>
    <w:bookmarkStart w:id="4" w:name="page5"/>
    <w:bookmarkEnd w:id="4"/>
    <w:p>
      <w:pPr>
        <w:jc w:val="right"/>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298323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832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Tourmaline Bio Highlights Cardiovascular Infammaton Focus and Announces Key Clinical and Strategic Updates at Investor Day</w:t>
      </w:r>
    </w:p>
    <w:p>
      <w:pPr>
        <w:spacing w:after="0" w:line="238" w:lineRule="exact"/>
        <w:rPr>
          <w:sz w:val="20"/>
          <w:szCs w:val="20"/>
          <w:color w:val="auto"/>
        </w:rPr>
      </w:pPr>
    </w:p>
    <w:p>
      <w:pPr>
        <w:ind w:left="4900" w:right="280" w:hanging="3980"/>
        <w:spacing w:after="0" w:line="221" w:lineRule="auto"/>
        <w:rPr>
          <w:sz w:val="20"/>
          <w:szCs w:val="20"/>
          <w:color w:val="auto"/>
        </w:rPr>
      </w:pPr>
      <w:r>
        <w:rPr>
          <w:rFonts w:ascii="Calibri" w:cs="Calibri" w:eastAsia="Calibri" w:hAnsi="Calibri"/>
          <w:sz w:val="20"/>
          <w:szCs w:val="20"/>
          <w:color w:val="auto"/>
        </w:rPr>
        <w:t>– Phase 2 TRANQUILITY trial surpasses enrollment target, with 143 total patents enrolled; topline data expected in second quarter of 2025 –</w:t>
      </w:r>
    </w:p>
    <w:p>
      <w:pPr>
        <w:spacing w:after="0" w:line="229" w:lineRule="exact"/>
        <w:rPr>
          <w:sz w:val="20"/>
          <w:szCs w:val="20"/>
          <w:color w:val="auto"/>
        </w:rPr>
      </w:pPr>
    </w:p>
    <w:p>
      <w:pPr>
        <w:ind w:left="1160"/>
        <w:spacing w:after="0"/>
        <w:rPr>
          <w:sz w:val="20"/>
          <w:szCs w:val="20"/>
          <w:color w:val="auto"/>
        </w:rPr>
      </w:pPr>
      <w:r>
        <w:rPr>
          <w:rFonts w:ascii="Calibri" w:cs="Calibri" w:eastAsia="Calibri" w:hAnsi="Calibri"/>
          <w:sz w:val="20"/>
          <w:szCs w:val="20"/>
          <w:color w:val="auto"/>
        </w:rPr>
        <w:t>– Deepak L. Bhat, MD, MPH, MBA and Dipender Gill, MD, PhD join Cardiovascular Scientfc Advisory Board –</w:t>
      </w:r>
    </w:p>
    <w:p>
      <w:pPr>
        <w:spacing w:after="0" w:line="228" w:lineRule="exact"/>
        <w:rPr>
          <w:sz w:val="20"/>
          <w:szCs w:val="20"/>
          <w:color w:val="auto"/>
        </w:rPr>
      </w:pPr>
    </w:p>
    <w:p>
      <w:pPr>
        <w:ind w:left="260"/>
        <w:spacing w:after="0"/>
        <w:rPr>
          <w:sz w:val="20"/>
          <w:szCs w:val="20"/>
          <w:color w:val="auto"/>
        </w:rPr>
      </w:pPr>
      <w:r>
        <w:rPr>
          <w:rFonts w:ascii="Calibri" w:cs="Calibri" w:eastAsia="Calibri" w:hAnsi="Calibri"/>
          <w:sz w:val="20"/>
          <w:szCs w:val="20"/>
          <w:color w:val="auto"/>
        </w:rPr>
        <w:t>– Company nominates abdominal aortc aneurysm as second cardiovascular indicaton for pacibekitug, expanding development for</w:t>
      </w:r>
    </w:p>
    <w:p>
      <w:pPr>
        <w:ind w:left="3760"/>
        <w:spacing w:after="0" w:line="225" w:lineRule="auto"/>
        <w:rPr>
          <w:sz w:val="20"/>
          <w:szCs w:val="20"/>
          <w:color w:val="auto"/>
        </w:rPr>
      </w:pPr>
      <w:r>
        <w:rPr>
          <w:rFonts w:ascii="Calibri" w:cs="Calibri" w:eastAsia="Calibri" w:hAnsi="Calibri"/>
          <w:sz w:val="20"/>
          <w:szCs w:val="20"/>
          <w:color w:val="auto"/>
        </w:rPr>
        <w:t>infammaton-driven cardiovascular disease –</w:t>
      </w:r>
    </w:p>
    <w:p>
      <w:pPr>
        <w:spacing w:after="0" w:line="239" w:lineRule="exact"/>
        <w:rPr>
          <w:sz w:val="20"/>
          <w:szCs w:val="20"/>
          <w:color w:val="auto"/>
        </w:rPr>
      </w:pPr>
    </w:p>
    <w:p>
      <w:pPr>
        <w:ind w:right="60"/>
        <w:spacing w:after="0" w:line="223" w:lineRule="auto"/>
        <w:rPr>
          <w:sz w:val="20"/>
          <w:szCs w:val="20"/>
          <w:color w:val="auto"/>
        </w:rPr>
      </w:pPr>
      <w:r>
        <w:rPr>
          <w:rFonts w:ascii="Calibri" w:cs="Calibri" w:eastAsia="Calibri" w:hAnsi="Calibri"/>
          <w:sz w:val="20"/>
          <w:szCs w:val="20"/>
          <w:color w:val="auto"/>
        </w:rPr>
        <w:t>NEW YORK – Dec. 10, 2024 – Tourmaline Bio, Inc. (Tourmaline) (NASDAQ: TRML), a late-stage clinical biotechnology company developing transformatve medicines to dramatcally improve the lives of patents with life-altering immune and infammatory diseases, today is hostng its Investor Day, beginning at 10 a.m. ET, during which it will outline progress across its pipeline and provide updates on its strategic priorites.</w:t>
      </w:r>
    </w:p>
    <w:p>
      <w:pPr>
        <w:spacing w:after="0" w:line="240" w:lineRule="exact"/>
        <w:rPr>
          <w:sz w:val="20"/>
          <w:szCs w:val="20"/>
          <w:color w:val="auto"/>
        </w:rPr>
      </w:pPr>
    </w:p>
    <w:p>
      <w:pPr>
        <w:ind w:right="40"/>
        <w:spacing w:after="0" w:line="226" w:lineRule="auto"/>
        <w:rPr>
          <w:sz w:val="20"/>
          <w:szCs w:val="20"/>
          <w:color w:val="auto"/>
        </w:rPr>
      </w:pPr>
      <w:r>
        <w:rPr>
          <w:rFonts w:ascii="Calibri" w:cs="Calibri" w:eastAsia="Calibri" w:hAnsi="Calibri"/>
          <w:sz w:val="20"/>
          <w:szCs w:val="20"/>
          <w:color w:val="auto"/>
        </w:rPr>
        <w:t>“We contnue to be laser-focused on our development eforts for pacibekitug in order to maximize the potental of this program,” said Sandeep Kulkarni, MD, Co-Founder and Chief Executve Ofcer of Tourmaline Bio. “Today’s updates, including the over-enrollment of our TRANQUILITY trial, the expansion of our Cardiovascular Scientfc Advisory Board, and the additon of a new indicaton, refect the strength of our science, the caliber of our team, and our commitment to redefning standards of care for patents worldwide.”</w:t>
      </w:r>
    </w:p>
    <w:p>
      <w:pPr>
        <w:spacing w:after="0" w:line="23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Phase 2 TRANQUILITY Trial Progress</w:t>
      </w:r>
    </w:p>
    <w:p>
      <w:pPr>
        <w:ind w:right="320"/>
        <w:spacing w:after="0" w:line="222" w:lineRule="auto"/>
        <w:rPr>
          <w:sz w:val="20"/>
          <w:szCs w:val="20"/>
          <w:color w:val="auto"/>
        </w:rPr>
      </w:pPr>
      <w:r>
        <w:rPr>
          <w:rFonts w:ascii="Calibri" w:cs="Calibri" w:eastAsia="Calibri" w:hAnsi="Calibri"/>
          <w:sz w:val="20"/>
          <w:szCs w:val="20"/>
          <w:color w:val="auto"/>
        </w:rPr>
        <w:t>Tourmaline today is announcing the over-enrollment of its Phase 2 TRANQUILITY trial, which evaluates quarterly and monthly subcutaneous dosing of pacibekitug in patents with elevated high-sensitvity C-reactve protein and chronic kidney disease. A total of 143 patents have been enrolled in the Phase 2 TRANQUILITY trial, as compared to 120 patents originally antcipated. Tourmaline expects to report topline data from this trial in the second quarter of 2025.</w:t>
      </w:r>
    </w:p>
    <w:p>
      <w:pPr>
        <w:spacing w:after="0" w:line="239" w:lineRule="exact"/>
        <w:rPr>
          <w:sz w:val="20"/>
          <w:szCs w:val="20"/>
          <w:color w:val="auto"/>
        </w:rPr>
      </w:pPr>
    </w:p>
    <w:p>
      <w:pPr>
        <w:jc w:val="both"/>
        <w:ind w:right="220"/>
        <w:spacing w:after="0" w:line="227" w:lineRule="auto"/>
        <w:rPr>
          <w:sz w:val="20"/>
          <w:szCs w:val="20"/>
          <w:color w:val="auto"/>
        </w:rPr>
      </w:pPr>
      <w:r>
        <w:rPr>
          <w:rFonts w:ascii="Calibri" w:cs="Calibri" w:eastAsia="Calibri" w:hAnsi="Calibri"/>
          <w:sz w:val="20"/>
          <w:szCs w:val="20"/>
          <w:color w:val="auto"/>
        </w:rPr>
        <w:t>The TRANQUILITY trial is the startng point of Tourmaline’s clinical development program for pacibekitug for the potental treatment of atherosclerotc cardiovascular disease (ASCVD) and other cardiovascular diseases. If successful, results from the TRANQUILITY trial are expected to positon Tourmaline to be Phase 3-ready for ASCVD.</w:t>
      </w:r>
    </w:p>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Expansion of Cardiovascular Scientfc Advisory Board (CV SAB)</w:t>
      </w:r>
    </w:p>
    <w:p>
      <w:pPr>
        <w:spacing w:after="0" w:line="212" w:lineRule="auto"/>
        <w:rPr>
          <w:sz w:val="20"/>
          <w:szCs w:val="20"/>
          <w:color w:val="auto"/>
        </w:rPr>
      </w:pPr>
      <w:r>
        <w:rPr>
          <w:rFonts w:ascii="Calibri" w:cs="Calibri" w:eastAsia="Calibri" w:hAnsi="Calibri"/>
          <w:sz w:val="20"/>
          <w:szCs w:val="20"/>
          <w:color w:val="auto"/>
        </w:rPr>
        <w:t>Tourmaline has expanded its CV SAB with two new appointments:</w:t>
      </w:r>
    </w:p>
    <w:p>
      <w:pPr>
        <w:spacing w:after="0" w:line="238" w:lineRule="exact"/>
        <w:rPr>
          <w:sz w:val="20"/>
          <w:szCs w:val="20"/>
          <w:color w:val="auto"/>
        </w:rPr>
      </w:pPr>
    </w:p>
    <w:p>
      <w:pPr>
        <w:ind w:left="660" w:right="140" w:hanging="328"/>
        <w:spacing w:after="0" w:line="226"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Deepak L. Bhat, MD, MPH, MBA, FACC, FAHA, FESC, MSCAI </w:t>
      </w:r>
      <w:r>
        <w:rPr>
          <w:rFonts w:ascii="Calibri" w:cs="Calibri" w:eastAsia="Calibri" w:hAnsi="Calibri"/>
          <w:sz w:val="20"/>
          <w:szCs w:val="20"/>
          <w:color w:val="auto"/>
        </w:rPr>
        <w:t>joins as Chair of the Tourmaline CV SAB. Dr. Bhat is the Director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Mount Sinai Fuster Heart Hospital and the Dr. Valentn Fuster Professor of Cardiovascular Medicine at the Icahn School of Medicine at Mount Sinai in New York City. Dr. Bhat has served as principal investgator for a number of groundbreaking cardiovascular clinical trials, bringing to the CV SAB decades of clinical trial expertse.</w:t>
      </w:r>
    </w:p>
    <w:p>
      <w:pPr>
        <w:spacing w:after="0" w:line="3" w:lineRule="exact"/>
        <w:rPr>
          <w:rFonts w:ascii="Calibri" w:cs="Calibri" w:eastAsia="Calibri" w:hAnsi="Calibri"/>
          <w:sz w:val="20"/>
          <w:szCs w:val="20"/>
          <w:color w:val="auto"/>
        </w:rPr>
      </w:pPr>
    </w:p>
    <w:p>
      <w:pPr>
        <w:ind w:left="660" w:right="960" w:hanging="328"/>
        <w:spacing w:after="0" w:line="225" w:lineRule="auto"/>
        <w:tabs>
          <w:tab w:leader="none" w:pos="653" w:val="left"/>
        </w:tabs>
        <w:numPr>
          <w:ilvl w:val="0"/>
          <w:numId w:val="3"/>
        </w:numPr>
        <w:rPr>
          <w:rFonts w:ascii="Calibri" w:cs="Calibri" w:eastAsia="Calibri" w:hAnsi="Calibri"/>
          <w:sz w:val="20"/>
          <w:szCs w:val="20"/>
          <w:color w:val="auto"/>
        </w:rPr>
      </w:pPr>
      <w:r>
        <w:rPr>
          <w:rFonts w:ascii="Calibri" w:cs="Calibri" w:eastAsia="Calibri" w:hAnsi="Calibri"/>
          <w:sz w:val="20"/>
          <w:szCs w:val="20"/>
          <w:b w:val="1"/>
          <w:bCs w:val="1"/>
          <w:color w:val="auto"/>
        </w:rPr>
        <w:t xml:space="preserve">Dipender Gill, MD, PhD </w:t>
      </w:r>
      <w:r>
        <w:rPr>
          <w:rFonts w:ascii="Calibri" w:cs="Calibri" w:eastAsia="Calibri" w:hAnsi="Calibri"/>
          <w:sz w:val="20"/>
          <w:szCs w:val="20"/>
          <w:color w:val="auto"/>
        </w:rPr>
        <w:t>is the CEO of Sequoia Genetcs and a specialist in leveraging human genetc evidence for drug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development. Dr. Gill adds deep translatonal insight to Tourmaline’s strategic focus.</w:t>
      </w:r>
    </w:p>
    <w:p>
      <w:pPr>
        <w:sectPr>
          <w:pgSz w:w="11900" w:h="16838" w:orient="portrait"/>
          <w:cols w:equalWidth="0" w:num="1">
            <w:col w:w="11240"/>
          </w:cols>
          <w:pgMar w:left="320" w:top="105" w:right="339" w:bottom="1440" w:gutter="0" w:footer="0" w:header="0"/>
        </w:sectPr>
      </w:pPr>
    </w:p>
    <w:bookmarkStart w:id="5" w:name="page6"/>
    <w:bookmarkEnd w:id="5"/>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98323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983230" cy="411480"/>
                    </a:xfrm>
                    <a:prstGeom prst="rect">
                      <a:avLst/>
                    </a:prstGeom>
                    <a:noFill/>
                  </pic:spPr>
                </pic:pic>
              </a:graphicData>
            </a:graphic>
          </wp:anchor>
        </w:drawing>
      </w:r>
    </w:p>
    <w:p>
      <w:pPr>
        <w:spacing w:after="0"/>
        <w:rPr>
          <w:sz w:val="20"/>
          <w:szCs w:val="20"/>
          <w:color w:val="auto"/>
        </w:rPr>
      </w:pPr>
      <w:r>
        <w:rPr>
          <w:rFonts w:ascii="Calibri" w:cs="Calibri" w:eastAsia="Calibri" w:hAnsi="Calibri"/>
          <w:sz w:val="20"/>
          <w:szCs w:val="20"/>
          <w:b w:val="1"/>
          <w:bCs w:val="1"/>
          <w:color w:val="auto"/>
        </w:rPr>
        <w:t>Indicaton Expansion in Cardiovascular Infammaton</w:t>
      </w:r>
    </w:p>
    <w:p>
      <w:pPr>
        <w:jc w:val="both"/>
        <w:ind w:right="200"/>
        <w:spacing w:after="0" w:line="225" w:lineRule="auto"/>
        <w:rPr>
          <w:sz w:val="20"/>
          <w:szCs w:val="20"/>
          <w:color w:val="auto"/>
        </w:rPr>
      </w:pPr>
      <w:r>
        <w:rPr>
          <w:rFonts w:ascii="Calibri" w:cs="Calibri" w:eastAsia="Calibri" w:hAnsi="Calibri"/>
          <w:sz w:val="20"/>
          <w:szCs w:val="20"/>
          <w:color w:val="auto"/>
        </w:rPr>
        <w:t>Tourmaline has nominated abdominal aortc aneurysm (AAA) as an additonal indicaton within its cardiovascular infammaton disease focus for pacibekitug. Tourmaline expects to provide additonal details on a planned Phase 2 proof-of-concept trial in AAA afer topline results from the Phase 2 TRANQUILITY trial are reported in Q2 2025.</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Update on Thyroid Eye Disease (TED) Development Program</w:t>
      </w:r>
    </w:p>
    <w:p>
      <w:pPr>
        <w:ind w:right="80"/>
        <w:spacing w:after="0" w:line="225" w:lineRule="auto"/>
        <w:rPr>
          <w:sz w:val="20"/>
          <w:szCs w:val="20"/>
          <w:color w:val="auto"/>
        </w:rPr>
      </w:pPr>
      <w:r>
        <w:rPr>
          <w:rFonts w:ascii="Calibri" w:cs="Calibri" w:eastAsia="Calibri" w:hAnsi="Calibri"/>
          <w:sz w:val="20"/>
          <w:szCs w:val="20"/>
          <w:color w:val="auto"/>
        </w:rPr>
        <w:t>In light of Tourmaline’s focus on cardiovascular infammaton, initaton of a Phase 3 trial in TED will be dependent upon results from the ongoing Phase 2b spiriTED trial. Topline data from the Phase 2b spiriTED trial are expected in the second half of 2025; Tourmaline expects to provide additonal informaton on its future development plans in TED at that tme.</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 Day Event Informaton</w:t>
      </w:r>
    </w:p>
    <w:p>
      <w:pPr>
        <w:jc w:val="both"/>
        <w:spacing w:after="0" w:line="221" w:lineRule="auto"/>
        <w:rPr>
          <w:sz w:val="20"/>
          <w:szCs w:val="20"/>
          <w:color w:val="auto"/>
        </w:rPr>
      </w:pPr>
      <w:r>
        <w:rPr>
          <w:rFonts w:ascii="Calibri" w:cs="Calibri" w:eastAsia="Calibri" w:hAnsi="Calibri"/>
          <w:sz w:val="20"/>
          <w:szCs w:val="20"/>
          <w:color w:val="auto"/>
        </w:rPr>
        <w:t xml:space="preserve">Tourmaline’s Investor Day will take place on December 10, 2024, beginning at 10 a.m. ET. To register for Tourmaline’s Investor Day, please click </w:t>
      </w:r>
      <w:r>
        <w:rPr>
          <w:rFonts w:ascii="Calibri" w:cs="Calibri" w:eastAsia="Calibri" w:hAnsi="Calibri"/>
          <w:sz w:val="20"/>
          <w:szCs w:val="20"/>
          <w:u w:val="single" w:color="auto"/>
          <w:color w:val="0000EE"/>
        </w:rPr>
        <w:t>here</w:t>
      </w:r>
      <w:r>
        <w:rPr>
          <w:rFonts w:ascii="Calibri" w:cs="Calibri" w:eastAsia="Calibri" w:hAnsi="Calibri"/>
          <w:sz w:val="20"/>
          <w:szCs w:val="20"/>
          <w:color w:val="auto"/>
        </w:rPr>
        <w:t xml:space="preserve"> or visit the </w:t>
      </w:r>
      <w:r>
        <w:rPr>
          <w:rFonts w:ascii="Calibri" w:cs="Calibri" w:eastAsia="Calibri" w:hAnsi="Calibri"/>
          <w:sz w:val="20"/>
          <w:szCs w:val="20"/>
          <w:u w:val="single" w:color="auto"/>
          <w:color w:val="0000EE"/>
        </w:rPr>
        <w:t>Events and Presentatons</w:t>
      </w:r>
      <w:r>
        <w:rPr>
          <w:rFonts w:ascii="Calibri" w:cs="Calibri" w:eastAsia="Calibri" w:hAnsi="Calibri"/>
          <w:sz w:val="20"/>
          <w:szCs w:val="20"/>
          <w:color w:val="auto"/>
        </w:rPr>
        <w:t xml:space="preserve"> secton of Tourmaline’s website. A replay of the webcast will be available on Tourmaline’s website following the event. It is recommended that partcipants register at least 15 minutes in advance of the event.</w:t>
      </w:r>
    </w:p>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color w:val="auto"/>
        </w:rPr>
        <w:t>About Tourmaline Bio</w:t>
      </w:r>
    </w:p>
    <w:p>
      <w:pPr>
        <w:ind w:right="200"/>
        <w:spacing w:after="0" w:line="225" w:lineRule="auto"/>
        <w:rPr>
          <w:sz w:val="20"/>
          <w:szCs w:val="20"/>
          <w:color w:val="auto"/>
        </w:rPr>
      </w:pPr>
      <w:r>
        <w:rPr>
          <w:rFonts w:ascii="Calibri" w:cs="Calibri" w:eastAsia="Calibri" w:hAnsi="Calibri"/>
          <w:sz w:val="20"/>
          <w:szCs w:val="20"/>
          <w:color w:val="auto"/>
        </w:rPr>
        <w:t xml:space="preserve">Tourmaline is a late-stage clinical biotechnology company driven by its mission to develop transformatve medicines that dramatcally improve the lives of patents with life-altering immune and infammatory diseases. Tourmaline’s lead asset is pacibekitug (also referred to as TOUR006). For more informaton about Tourmaline Bio and pacibekitug, please visit </w:t>
      </w:r>
      <w:r>
        <w:rPr>
          <w:rFonts w:ascii="Calibri" w:cs="Calibri" w:eastAsia="Calibri" w:hAnsi="Calibri"/>
          <w:sz w:val="20"/>
          <w:szCs w:val="20"/>
          <w:u w:val="single" w:color="auto"/>
          <w:color w:val="0000EE"/>
        </w:rPr>
        <w:t>htps://www.tourmalinebio.com</w:t>
      </w:r>
      <w:r>
        <w:rPr>
          <w:rFonts w:ascii="Calibri" w:cs="Calibri" w:eastAsia="Calibri" w:hAnsi="Calibri"/>
          <w:sz w:val="20"/>
          <w:szCs w:val="20"/>
          <w:color w:val="auto"/>
        </w:rPr>
        <w:t xml:space="preserve"> or follow us on </w:t>
      </w:r>
      <w:r>
        <w:rPr>
          <w:rFonts w:ascii="Calibri" w:cs="Calibri" w:eastAsia="Calibri" w:hAnsi="Calibri"/>
          <w:sz w:val="20"/>
          <w:szCs w:val="20"/>
          <w:u w:val="single" w:color="auto"/>
          <w:color w:val="0000EE"/>
        </w:rPr>
        <w:t>LinkedIn</w:t>
      </w:r>
      <w:r>
        <w:rPr>
          <w:rFonts w:ascii="Calibri" w:cs="Calibri" w:eastAsia="Calibri" w:hAnsi="Calibri"/>
          <w:sz w:val="20"/>
          <w:szCs w:val="20"/>
          <w:color w:val="auto"/>
        </w:rPr>
        <w:t xml:space="preserve"> or </w:t>
      </w:r>
      <w:r>
        <w:rPr>
          <w:rFonts w:ascii="Calibri" w:cs="Calibri" w:eastAsia="Calibri" w:hAnsi="Calibri"/>
          <w:sz w:val="20"/>
          <w:szCs w:val="20"/>
          <w:u w:val="single" w:color="auto"/>
          <w:color w:val="0000EE"/>
        </w:rPr>
        <w:t>X</w:t>
      </w:r>
      <w:r>
        <w:rPr>
          <w:rFonts w:ascii="Calibri" w:cs="Calibri" w:eastAsia="Calibri" w:hAnsi="Calibri"/>
          <w:sz w:val="20"/>
          <w:szCs w:val="20"/>
          <w:color w:val="auto"/>
        </w:rPr>
        <w:t>.</w:t>
      </w:r>
    </w:p>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Pacibekitug</w:t>
      </w:r>
    </w:p>
    <w:p>
      <w:pPr>
        <w:ind w:right="160"/>
        <w:spacing w:after="0" w:line="221" w:lineRule="auto"/>
        <w:rPr>
          <w:sz w:val="20"/>
          <w:szCs w:val="20"/>
          <w:color w:val="auto"/>
        </w:rPr>
      </w:pPr>
      <w:r>
        <w:rPr>
          <w:rFonts w:ascii="Calibri" w:cs="Calibri" w:eastAsia="Calibri" w:hAnsi="Calibri"/>
          <w:sz w:val="20"/>
          <w:szCs w:val="20"/>
          <w:color w:val="auto"/>
        </w:rPr>
        <w:t>Pacibekitug (also referred to as TOUR006) is a long-actng, fully-human, ant-IL-6 monoclonal antbody with best-in-class potental and diferentated propertes including a naturally long half-life, low immunogenicity, and high binding afnity to IL-6. Pacibekitug has been previously studied in approximately 450 partcipants, including patents with autoimmune disorders, across six completed clinical trials.</w:t>
      </w:r>
    </w:p>
    <w:p>
      <w:pPr>
        <w:spacing w:after="0" w:line="1" w:lineRule="exact"/>
        <w:rPr>
          <w:sz w:val="20"/>
          <w:szCs w:val="20"/>
          <w:color w:val="auto"/>
        </w:rPr>
      </w:pPr>
    </w:p>
    <w:p>
      <w:pPr>
        <w:ind w:right="20"/>
        <w:spacing w:after="0" w:line="225" w:lineRule="auto"/>
        <w:rPr>
          <w:sz w:val="20"/>
          <w:szCs w:val="20"/>
          <w:color w:val="auto"/>
        </w:rPr>
      </w:pPr>
      <w:r>
        <w:rPr>
          <w:rFonts w:ascii="Calibri" w:cs="Calibri" w:eastAsia="Calibri" w:hAnsi="Calibri"/>
          <w:sz w:val="20"/>
          <w:szCs w:val="20"/>
          <w:color w:val="auto"/>
        </w:rPr>
        <w:t>Tourmaline is currently developing pacibekitug in atherosclerotc cardiovascular disease (ASCVD) and thyroid eye disease (TED) as its frst two indicatons, with plans to expand into abdominal aortc aneurysm (AAA) and additonal diseases in the future.</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Cautonary Note Regarding Forward-Looking Statements</w:t>
      </w:r>
    </w:p>
    <w:p>
      <w:pPr>
        <w:ind w:right="80"/>
        <w:spacing w:after="0"/>
        <w:rPr>
          <w:sz w:val="20"/>
          <w:szCs w:val="20"/>
          <w:color w:val="auto"/>
        </w:rPr>
      </w:pPr>
      <w:r>
        <w:rPr>
          <w:rFonts w:ascii="Calibri" w:cs="Calibri" w:eastAsia="Calibri" w:hAnsi="Calibri"/>
          <w:sz w:val="20"/>
          <w:szCs w:val="20"/>
          <w:color w:val="auto"/>
        </w:rPr>
        <w:t>Any statements contained in this press release that do not describe historical facts may consttute forward-looking statements as that term is defned in the Private Securites Litgaton Reform Act of 1995. These statements may be identfed by words and phrases such as “believe,” “designed to,” “expect,” “may,” “plan,” “potental,” “will” and similar expressions, and are based on Tourmaline’s current beliefs and expectatons. These forward-looking statements include expectatons regarding the development and potental therapeutc benefts of pacibekitug; the tming of initaton, progress and results of Tourmaline’s current and future clinical trials for pacibekitug, including reportng of data therefrom and additonal details regarding the planning thereof; the tming of future announcements regarding Tourmaline’s development plans and the content of such announcements; the tming of a planned Phase 2 proof-of-concept clinical trial and of Phase 3 clinical trial readiness; and the tming and potental to expand pacibekitug into additonal indicatons. These statements involve risks and uncertaintes that could cause actual results to difer materially from those refected in such statements. Risks and uncertaintes that may cause actual results to difer materially include uncertaintes inherent in the development of therapeutc product candidates, such as the risk that any one or more of Tourmaline’s current or future product candidates will not be successfully developed or commercialized; the risk of delay or cessaton of any planned clinical trials of Tourmaline’s current or future product</w:t>
      </w:r>
    </w:p>
    <w:p>
      <w:pPr>
        <w:sectPr>
          <w:pgSz w:w="11900" w:h="16838" w:orient="portrait"/>
          <w:cols w:equalWidth="0" w:num="1">
            <w:col w:w="11240"/>
          </w:cols>
          <w:pgMar w:left="320" w:top="1440" w:right="339" w:bottom="1440" w:gutter="0" w:footer="0" w:header="0"/>
        </w:sectPr>
      </w:pPr>
    </w:p>
    <w:bookmarkStart w:id="6" w:name="page7"/>
    <w:bookmarkEnd w:id="6"/>
    <w:p>
      <w:pPr>
        <w:spacing w:after="0" w:line="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98323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983230" cy="411480"/>
                    </a:xfrm>
                    <a:prstGeom prst="rect">
                      <a:avLst/>
                    </a:prstGeom>
                    <a:noFill/>
                  </pic:spPr>
                </pic:pic>
              </a:graphicData>
            </a:graphic>
          </wp:anchor>
        </w:drawing>
      </w:r>
    </w:p>
    <w:p>
      <w:pPr>
        <w:spacing w:after="0" w:line="223" w:lineRule="auto"/>
        <w:rPr>
          <w:sz w:val="20"/>
          <w:szCs w:val="20"/>
          <w:color w:val="auto"/>
        </w:rPr>
      </w:pPr>
      <w:r>
        <w:rPr>
          <w:rFonts w:ascii="Calibri" w:cs="Calibri" w:eastAsia="Calibri" w:hAnsi="Calibri"/>
          <w:sz w:val="20"/>
          <w:szCs w:val="20"/>
          <w:color w:val="auto"/>
        </w:rPr>
        <w:t>candidates; the risk that prior results, such as signals of safety, actvity or durability of efect, observed from preclinical trials and clinical trials, will not be replicated or will not contnue in ongoing or future studies or clinical trials involving Tourmaline’s current or future product candidates and/or current or future target indicatons; the risk that Tourmaline’s current or future product candidates or procedures in connecton with the administraton thereof will not have the safety or efcacy profle that Tourmaline antcipates; risks regarding the accuracy of Tourmaline’s estmates of expenses, capital requirements and needs for additonal fnancing; changes in expected or existng competton; changes in the regulatory environment; the uncertaintes and tming of the regulatory approval process; unexpected litgaton or other disputes; the impacts of macroeconomic conditons Tourmaline’s business, clinical trials and fnancial positon; and other risks and uncertaintes that are described in Tourmaline’s Quarterly Report on Form 10-Q fled with the U.S. Securites and Exchange Commission (“SEC”) on November 7, 2024 and other flings that Tourmaline makes with the SEC from tme to tme. Any forward-looking statements speak only as of the date of this press release and are based on informaton available to Tourmaline as of the date hereof, and Tourmaline assumes no obligaton to, and does not intend to, update any forward-looking statements, whether as a result of new informaton, future events or otherwise.</w:t>
      </w:r>
    </w:p>
    <w:p>
      <w:pPr>
        <w:sectPr>
          <w:pgSz w:w="11900" w:h="16838" w:orient="portrait"/>
          <w:cols w:equalWidth="0" w:num="1">
            <w:col w:w="11160"/>
          </w:cols>
          <w:pgMar w:left="320" w:top="1440" w:right="419" w:bottom="1440" w:gutter="0" w:footer="0" w:header="0"/>
        </w:sectPr>
      </w:pPr>
    </w:p>
    <w:bookmarkStart w:id="7" w:name="page8"/>
    <w:bookmarkEnd w:id="7"/>
    <w:p>
      <w:pPr>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983230"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983230" cy="411480"/>
                    </a:xfrm>
                    <a:prstGeom prst="rect">
                      <a:avLst/>
                    </a:prstGeom>
                    <a:noFill/>
                  </pic:spPr>
                </pic:pic>
              </a:graphicData>
            </a:graphic>
          </wp:anchor>
        </w:drawing>
        <w:t>Media Contact</w:t>
      </w:r>
    </w:p>
    <w:p>
      <w:pPr>
        <w:spacing w:after="0" w:line="212" w:lineRule="auto"/>
        <w:rPr>
          <w:sz w:val="20"/>
          <w:szCs w:val="20"/>
          <w:color w:val="auto"/>
        </w:rPr>
      </w:pPr>
      <w:r>
        <w:rPr>
          <w:rFonts w:ascii="Calibri" w:cs="Calibri" w:eastAsia="Calibri" w:hAnsi="Calibri"/>
          <w:sz w:val="20"/>
          <w:szCs w:val="20"/>
          <w:color w:val="auto"/>
        </w:rPr>
        <w:t>Scient PR</w:t>
      </w:r>
    </w:p>
    <w:p>
      <w:pPr>
        <w:spacing w:after="0" w:line="225" w:lineRule="auto"/>
        <w:rPr>
          <w:sz w:val="20"/>
          <w:szCs w:val="20"/>
          <w:color w:val="auto"/>
        </w:rPr>
      </w:pPr>
      <w:r>
        <w:rPr>
          <w:rFonts w:ascii="Calibri" w:cs="Calibri" w:eastAsia="Calibri" w:hAnsi="Calibri"/>
          <w:sz w:val="20"/>
          <w:szCs w:val="20"/>
          <w:color w:val="auto"/>
        </w:rPr>
        <w:t>Sarah Mishek</w:t>
      </w:r>
    </w:p>
    <w:p>
      <w:pPr>
        <w:spacing w:after="0" w:line="213" w:lineRule="auto"/>
        <w:rPr>
          <w:sz w:val="20"/>
          <w:szCs w:val="20"/>
          <w:color w:val="auto"/>
        </w:rPr>
      </w:pPr>
      <w:r>
        <w:rPr>
          <w:rFonts w:ascii="Calibri" w:cs="Calibri" w:eastAsia="Calibri" w:hAnsi="Calibri"/>
          <w:sz w:val="20"/>
          <w:szCs w:val="20"/>
          <w:u w:val="single" w:color="auto"/>
          <w:color w:val="0000FF"/>
        </w:rPr>
        <w:t>SMishek@ScientPR.com</w:t>
      </w:r>
    </w:p>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 Contact</w:t>
      </w:r>
    </w:p>
    <w:p>
      <w:pPr>
        <w:spacing w:after="0" w:line="212" w:lineRule="auto"/>
        <w:rPr>
          <w:sz w:val="20"/>
          <w:szCs w:val="20"/>
          <w:color w:val="auto"/>
        </w:rPr>
      </w:pPr>
      <w:r>
        <w:rPr>
          <w:rFonts w:ascii="Calibri" w:cs="Calibri" w:eastAsia="Calibri" w:hAnsi="Calibri"/>
          <w:sz w:val="20"/>
          <w:szCs w:val="20"/>
          <w:color w:val="auto"/>
        </w:rPr>
        <w:t>Meru Advisors</w:t>
      </w:r>
    </w:p>
    <w:p>
      <w:pPr>
        <w:spacing w:after="0" w:line="225" w:lineRule="auto"/>
        <w:rPr>
          <w:sz w:val="20"/>
          <w:szCs w:val="20"/>
          <w:color w:val="auto"/>
        </w:rPr>
      </w:pPr>
      <w:r>
        <w:rPr>
          <w:rFonts w:ascii="Calibri" w:cs="Calibri" w:eastAsia="Calibri" w:hAnsi="Calibri"/>
          <w:sz w:val="20"/>
          <w:szCs w:val="20"/>
          <w:color w:val="auto"/>
        </w:rPr>
        <w:t>Lee M. Stern</w:t>
      </w:r>
    </w:p>
    <w:p>
      <w:pPr>
        <w:spacing w:after="0" w:line="213" w:lineRule="auto"/>
        <w:rPr>
          <w:sz w:val="20"/>
          <w:szCs w:val="20"/>
          <w:color w:val="auto"/>
        </w:rPr>
      </w:pPr>
      <w:r>
        <w:rPr>
          <w:rFonts w:ascii="Calibri" w:cs="Calibri" w:eastAsia="Calibri" w:hAnsi="Calibri"/>
          <w:sz w:val="20"/>
          <w:szCs w:val="20"/>
          <w:u w:val="single" w:color="auto"/>
          <w:color w:val="0000FF"/>
        </w:rPr>
        <w:t>lstern@meruadvisors.com</w:t>
      </w:r>
    </w:p>
    <w:sectPr>
      <w:pgSz w:w="11900" w:h="16838" w:orient="portrait"/>
      <w:cols w:equalWidth="0" w:num="1">
        <w:col w:w="10139"/>
      </w:cols>
      <w:pgMar w:left="320" w:top="13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2024-12-10T07:52:22Z</dcterms:created>
  <dcterms:modified xsi:type="dcterms:W3CDTF">2024-12-10T07:52:22Z</dcterms:modified>
</cp:coreProperties>
</file>