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16,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Mary Kay Fenton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Talaris Therapeutics,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93 Worcester St.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Wellesley, MA 02481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Talaris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20, 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333-273335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Mary Kay Fenton: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is the Tourmaline pre-closing financing?, page 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if the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is conditioned upon the consummation of the pre-closing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will Talaris stockholders receive in the Merger?, page 4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Briefly explain how the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record date and ex-dividend date will impact which Talaris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 will be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entitled to receive any special cash dividend declared by Talaris.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the common stock of the combined company trade on an exchange?,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shares of the combined company are expected to be listed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Mary Kay Fenton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LastNameMary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Talaris Therapeutics, Inc. Kay Fenton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  <w:tab/>
        <w:t>16, NameTalaris</w:t>
      </w:r>
    </w:p>
    <w:p>
      <w:pPr>
        <w:ind w:left="128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16, 2023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Nasdaq. Please revise to disclose if the terms of the merger agreement permit that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Nasdaq listing closing condition could be waived without recirculation or resolicitation. If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so, please revise your risk factors to reflect the risks associated with any such waiver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indicate that shareholders may not have certainty at the time of the vote that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of the combined company will be listed on Nasdaq following the merger or revise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in a pre-effective amendment as appropriate if and when there is more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certainty regarding the Nasdaq listing of the shares of the combined</w:t>
      </w:r>
    </w:p>
    <w:p>
      <w:pPr>
        <w:sectPr>
          <w:pgSz w:w="11900" w:h="16849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Tourmaline, page 10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Tourmaline is a late-stage clinical biotechnology company. Please revise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references to late-stage given that Tourmaline's leading product candidate, TOUR006, has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recently submitted its IND application to the FDA and has not begun clinical trials.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here and throughout your prospectus regarding TOUR006 having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potential to be "best-in-class." Please remove references to "best-in-class" as this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implies an expectation of regulatory approval and is inappropriate given the length of time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uncertainty with respect to securing marketing approval. If your intention is 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convey your belief that your platform or your programs utilize a novel technology or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approach, you may discuss how your technology differs from technology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by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competitors. Statements such as these should be accompanied by cautionary language that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statements are not intended to give any indication that your technology or any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product candidates have been proven effective or will receive regulatory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Merger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Merger, page 151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Talaris management and representatives from Leerink Partners developed 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list of 43 potential counterparties for the potential reverse merger transaction that was</w:t>
      </w: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approved by the S&amp;T Committee and that of the 43 potential counterparties, Leerink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 distributed process letters on behalf of Talaris to 28 companies that the S&amp;T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Committee determined to be the most viable counterparties. Please describe the criteria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S&amp;T Committee used in determining which counterparties should receive the process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letters and which should not.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on March 15, 2023 Tourmaline management shared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non-confidential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corporate presentation with Leerink Partners who then shared it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S&amp;T</w:t>
      </w: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Committee. Please discuss the contents of the presentation that would be material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Talaris' stockholders.</w:t>
      </w:r>
    </w:p>
    <w:p>
      <w:pPr>
        <w:ind w:right="275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on March 31, 2023 members of the S&amp;T Committee discussed outreach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they had received from certain potential counterparties. Please discuss who the parties</w:t>
      </w:r>
    </w:p>
    <w:p>
      <w:pPr>
        <w:ind w:left="120" w:right="43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and what was the context of the outreach. Mary Kay Fenton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 LastNameMary</w:t>
      </w:r>
    </w:p>
    <w:p>
      <w:pPr>
        <w:ind w:right="6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Talaris Therapeutics, Inc. Kay Fenton 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 16, NameTalaris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Therapeutics,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ind w:right="7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16, 2023 Page 3 FirstName LastName</w:t>
      </w: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on April 11, 2023 the S&amp;T Committee decided to not advance with Party N.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description for the reasons the S&amp;T Committee decided to not move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forward with Party N.</w:t>
      </w:r>
    </w:p>
    <w:p>
      <w:pPr>
        <w:ind w:right="265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on April 14, 2023 the S&amp;T Committee selected to prioritize the indications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interest from Tourmaline, Party B, Party C, and Party H and that the S&amp;T Committee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decided to not move forward with the other 10 participants. We note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only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 potential counterparties submitted indications of interest and that on March 16, 2023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S&amp;T Committee communicated to Parties F, G, I, J, and L that they were not invited to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2" w:name="page3"/>
    <w:bookmarkEnd w:id="2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move forward with the reverse merger process. Please clarify who the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10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participants that were not invited to move forward on April 14,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on April 14, 2023 the S&amp;T Committee proposed certain revisions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Tourmaline's transaction proposal. Please clarify if there were any other proposed</w:t>
      </w: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revisions or counterproposals presented to other potential counterparties.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April 19, 2023 you state that the S&amp;T Committee provided feedback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incorporated in Talaris' next counterproposal to Tourmaline. Please discuss such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feedback.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 of Talaris' Financial Advisor, page 171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on page 174 that for purposes of its analysis, Leerink Partners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utilized the estimated exchange ratio of 0.7403 shares of Talaris common stock for each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of Tourmaline, based on Talaris' and Tourmaline's respective capitalization as of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22, 2023. However, this estimated exchange ratio does not appear to be within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range of the exchange ratios disclosed on the cover page which range from 0.7553 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0.7721. Please enhance the disclosure so that it is clear to investors how Leerink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concluded that the exchange ratio proposed to be paid by Talaris pursuant to the terms of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Merger Agreement was fair, from a financial point of view, to Talaris using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 exchange ratio of 0.7403. We also note the disclosure on page 175 that</w:t>
      </w:r>
    </w:p>
    <w:p>
      <w:pPr>
        <w:ind w:left="96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Leerink</w:t>
        <w:tab/>
        <w:t>s analysis resulted in an implied exchange ratio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approximately 1.2235x to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1.5454x. Please revise to state any conclusions Leerink reached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exchange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ratio used for purposes of the merger agreement based on the results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discounted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flow analysis.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Projections, page 179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true, please make clear that the Financial Projections reflect the assumption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patents would be granted for TOUR006 and, if granted, would not expire until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2043. Please also explain why the Financial Projections were modeled to reflect the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estimated impact of loss of market exclusivity for the TED indication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2039.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Characterization of the Merger, page 192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49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representation that Talaris and Tourmaline "intend" for the merger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Mary Kay Fenton FirstName LastNameMary</w:t>
      </w:r>
    </w:p>
    <w:p>
      <w:pPr>
        <w:ind w:right="6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Talaris Therapeutics, Inc. Kay Fenton 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 16, NameTalaris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Therapeutics,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ind w:right="7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16, 2023 Page 4 FirstName LastName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qualify as a reorganization within the meaning of Section 368(a) of the U.S. Internal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Code of 1986, as amended (the "Code"). Please revise your disclosure here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to provide counsel s firm opinion for each material tax consequence, including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 merger will qualify as a reorganization, or to explain why such opinion cannot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given. If the opinion is subject to uncertainty, please (1) provide an opinion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reflects the degree of uncertainty (e.g., "should" or "more likely than not") and explains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facts or circumstances giving rise to the uncertainty, and (2)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disclosure of the</w:t>
      </w: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possible alternative tax consequences including risk factor and/or other appropriate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3" w:name="page4"/>
    <w:bookmarkEnd w:id="3"/>
    <w:p>
      <w:pPr>
        <w:ind w:right="243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setting forth the risks of uncertain tax treatment to investors. Please refer to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601(b)(8) of Regulation S-K and Section III.A of Staff Legal Bulletin 19, Legality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Tax Opinions in Registered Offerings for guidance.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Purchase Agreement, page 222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description of the Securities Purchase Agreement. Please identify each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 who, as a result of purchasing securities pursuant to such agreement, is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be a beneficial owner of 5% or more of the outstanding shares of the</w:t>
      </w:r>
    </w:p>
    <w:p>
      <w:pPr>
        <w:ind w:right="32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company following the financing and the merger. Proposal No. 4-The Incentive Plan Proposal, page 245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245 that under the 2023 Plan that the stockholders are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being asked to approve, the combined company s board of directors will generally have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authority to effect, without the approval of stockholders, (1) the reduction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exercise, purchase, or strike price of any outstanding option or stock appreciation right;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56"/>
        <w:spacing w:after="0" w:line="238" w:lineRule="auto"/>
        <w:tabs>
          <w:tab w:leader="none" w:pos="1369" w:val="left"/>
        </w:tabs>
        <w:numPr>
          <w:ilvl w:val="1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cancellation of any outstanding option or stock appreciation right and the grant in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substitution therefore of other awards, cash, or other consideration; or (3) any other action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is treated as a repricing under generally accepted accounting principles. Please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appropriate disclosure regarding these repricing provisions which could occur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stockholder approval, including whether proxy advisory firms could find any such</w:t>
      </w:r>
    </w:p>
    <w:p>
      <w:pPr>
        <w:ind w:right="359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repricings without stockholder approval contrary to a performance-based pay philosophy.</w:t>
      </w:r>
    </w:p>
    <w:p>
      <w:pPr>
        <w:ind w:right="8239"/>
        <w:spacing w:after="0" w:line="29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Talaris' Business Overview, page 260</w:t>
      </w:r>
    </w:p>
    <w:p>
      <w:pPr>
        <w:spacing w:after="0" w:line="14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 February 2023 Talaris announced the discontinuation of its FREEDOM-1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FREEDOM-2 clinical trials and in March 2023 Talaris voluntarily paused its FREEDOM-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 trials. We also note that on page 36 you discuss the risks concerning if Talaris were to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resume development of its product candidates. Please clarify here whether Talaris has had</w:t>
      </w:r>
    </w:p>
    <w:p>
      <w:pPr>
        <w:ind w:right="3399" w:firstLine="948"/>
        <w:spacing w:after="0" w:line="29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discussions with Tourmaline on continuing these trials. Talaris' Product Candidates and Historical Business, page 261</w:t>
      </w:r>
    </w:p>
    <w:p>
      <w:pPr>
        <w:spacing w:after="0" w:line="14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 degree of immune mismatch between the donor and recipient did not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 to impact the safety and efficacy of Talris' therapy candidate. Safety and efficacy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Mary Kay Fenton</w:t>
      </w:r>
    </w:p>
    <w:p>
      <w:pPr>
        <w:ind w:right="739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Talaris Therapeutics, Inc. August 16, 2023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determinations are solely within the authority of the FDA or applicable foreign regulator.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or remove this statement and similar statements throughout your prospectus.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that you may state your product candidate has been well tolerated, if accurate.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Phase 2 Clinical Trial Results as of March 1, 2023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Indication of Durable Chimerism and Withdrawal of Immunosuppression, page 270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49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make references to a "figure above" that denotes patients achieving durable donor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chimerism and weaning off their chronic immunosuppressants without rejecting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transplanted organ and refining Talaris' Phase 2 protocol to exclude female donors to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unrelated male recipients. Please include the referenced figure or remove such references.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Talaris' Phase 2 Results - Quality of Life ("QoL"), page 276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 General Health Component of SF-36 and the EQ-5D-5L questionnaires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reported statistically significant rates. Please provide p-values and define the term and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4" w:name="page5"/>
    <w:bookmarkEnd w:id="4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significance of the p-value results shown.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HSCT as Potential Treatment for dcSSc, page 281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5919" w:firstLine="8"/>
        <w:spacing w:after="0" w:line="249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define TBI at first use. Tourmaline's Business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304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49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Tourmaline has submitted its IND in the U.S. to support initiation of its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Phase 2b trial of TOUR006 in first-line TED and plans to submit an IND to support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initiation of a Phase 2 ASCVD trial in 2024. In an appropriate location, briefly indicate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you believe Tourmaline would not need to conduct Phase 1 trials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these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indications. Include risk factor disclosure if appropriate. Tourmaline's Pipeline, page 304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pipeline table includes Thyroid Eye Disease Expansion Cohorts that, according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under "TOUR006 for the Treatment of Additional TED Populations" on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315, appears to be in the study or pre-clinical phase at this time. Please limit your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to product candidates that are sufficiently material to your business to warrant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inclusion and, if sufficiently material, tell us whether this indication should be shown as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pre-clinical in Tourmaline's pipeline table.</w:t>
      </w:r>
    </w:p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the disclosure, it does not appear that Tourmaline has received IND approval 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LastNameMary Kay Fenton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time for the clinical trials indicated in the pipeline table. Since the pipeline table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couldNameTalaris   Therapeutics,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3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26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read as showing</w:t>
            </w:r>
          </w:p>
        </w:tc>
        <w:tc>
          <w:tcPr>
            <w:tcW w:w="4300" w:type="dxa"/>
            <w:vAlign w:val="bottom"/>
          </w:tcPr>
          <w:p>
            <w:pPr>
              <w:ind w:left="126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Inc. is currently in clinical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trials, please revise your</w:t>
            </w:r>
          </w:p>
        </w:tc>
        <w:tc>
          <w:tcPr>
            <w:tcW w:w="4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Tourmaline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Augusttable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appropriate</w:t>
            </w:r>
          </w:p>
        </w:tc>
        <w:tc>
          <w:tcPr>
            <w:tcW w:w="43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6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Page 5 to more clearly show the current status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Mary Kay Fenton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LastNameMary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Talaris Therapeutics, Inc. Kay Fenton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  <w:tab/>
        <w:t>16, NameTalaris</w:t>
      </w:r>
    </w:p>
    <w:p>
      <w:pPr>
        <w:ind w:left="128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 16, 2023 Page 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Corporate History and Tourmaline's Team, page 305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49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Tourmaline's management team has been involved in the development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right="21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approved pharmaceutical products such as YERVOY, OPDIVO, KALBITOR, TAKHZYRO, and DALIRESP. Please clarify that although these products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approved, they are not an indication that your product candidates will be approved 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 orphan and/or large market designations.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Tourmaline has raised money in private financing from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leading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biotechnology investors including Deep Track Capital, Cowen Healthcare Investments,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QVT, Braidwell, Hydra, Petrichor, TCGX, KVP, RTW, Avego, Vivo, and Logos. Please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 the disclosure of specific investors to those identified in the Principal Shareholder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on page 398. Additionally, indicate that prospective investors should not rely on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named investors investment decisions, that these investors may have different risk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tolerances and the securities purchased by those investors may have been conducted at a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discount to price reflected in the merger agreement.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Product Candidate: TOUR006, page 309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9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TOUR006 was originally developed from a hybridoma cell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5" w:name="page6"/>
    <w:bookmarkEnd w:id="5"/>
    <w:p>
      <w:pPr>
        <w:ind w:right="211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line using a transgenic mouse platform and that the IgG1 isotype of the original clone was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switched by Pfizer to IgG2 to reduce Fc receptor binding, thereby creating TOUR006.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Along with this disclosure, please add a brief discussion of how TOUR006 is considered a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fully human monoclonal antibody.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TOUR006 was tested by Pfizer and across those studies TOUR006 has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demonstrated a safety profile consistent with the IL-6 class. Safety is a determination that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within the authority of the FDA. Please revise or remove these statements and similar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throughout your prospectus. Note that you may state your product candidate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been well tolerated, if accurate.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TOUR006 has demonstrated low rates of anti-drug antibodies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 ADAs ). Please disclose if the sample size of the data on which you base this disclosure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sufficient to draw statistically meaningful conclusions in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table on page 310 you indicate that a black box warning is "N/A" for TOUR006.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you have determined at this time that such labelling would be not</w:t>
      </w:r>
    </w:p>
    <w:p>
      <w:pPr>
        <w:ind w:right="369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 or revise your disclosure as appropriate. Current Treatment Paradigm for TED, page 311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 TEPEZZA had a proptosis response rate defined as a greater than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equal to 2mm decrease in proptosis from baseline. Please explain the significance of the</w:t>
      </w:r>
    </w:p>
    <w:p>
      <w:pPr>
        <w:ind w:right="77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result. Mary Kay Fenton FirstName LastNameMary</w:t>
      </w:r>
    </w:p>
    <w:p>
      <w:pPr>
        <w:ind w:right="6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Talaris Therapeutics, Inc. Kay Fenton 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 16, NameTalaris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Therapeutics,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ind w:right="7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 16, 2023 Page 7 FirstName LastName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Experience in TED with IL-6 Inhibition, page 312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tocilizumab, an anti-IL-6R antibody, was reported to offer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meaningful improvement in efficacy outcomes. Since efficacy determinations are within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authority of the FDA or other applicable regulators, please revise this statement as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appropriate. Please also disclose whether the studies presented in the table on page 313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geared for statistical significance. In addition, if the inference to be made here is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anti-IL-6 antibodies, such as TOUR006, would perform as well as anti-IL-6 receptor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antibodies, please include any cautionary disclosure that would be appropriate.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Experience with TOUR006, page 318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of trials related to your product candidate throughout this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section. Please revise to clarify whether each trial was powered for statistical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significance. If a trial was powered for statistical significance, please provide p-values for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results of each trial. If no statistical analysis was performed, please state so.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 Agreement with Pfizer, page 323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if the transactions related to the merger agreement will constitute 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Transaction under the License Agreement for purposes of the one-time</w:t>
      </w:r>
    </w:p>
    <w:p>
      <w:pPr>
        <w:ind w:right="4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 described at the top of page 324. PD and Efficacy Data, page 323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49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use of p-values for the CDAI-70 response rate. At first use, please provide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brief explanation of the disclosed p-value and how it is used to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statistical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significance.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Patents, page 327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979" w:firstLine="8"/>
        <w:spacing w:after="0" w:line="249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jurisdictions where Tourmaline's patent applications have been filed.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disclose the specified indications the patent applications would cover if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granted.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Adjustments to the Unaudited Pro Forma Condensed Combined Financial Information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F, page 380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49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the calculation for how you determined that 150,997,662 shares of Talaris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will be received in exchange for 128,148,529 Tourmaline shares considering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 exchange ratio of .7592.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Stockholders of the Combined Company, page 401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49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identify the natural person or persons who have voting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investment control of the shares held by the entities affiliated with Cowen Healthcare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Mary Kay Fenton</w:t>
      </w:r>
    </w:p>
    <w:p>
      <w:pPr>
        <w:ind w:right="739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Talaris Therapeutics, Inc. August 16, 2023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8</w:t>
      </w:r>
    </w:p>
    <w:p>
      <w:pPr>
        <w:ind w:right="8139" w:firstLine="737"/>
        <w:spacing w:after="0" w:line="29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Investments. Exhibits</w:t>
      </w:r>
    </w:p>
    <w:p>
      <w:pPr>
        <w:spacing w:after="0" w:line="14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 intend to file the form of preliminary proxy card as Exhibit</w:t>
      </w:r>
    </w:p>
    <w:p>
      <w:pPr>
        <w:spacing w:after="0" w:line="4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640" w:hanging="632"/>
        <w:spacing w:after="0" w:line="238" w:lineRule="auto"/>
        <w:tabs>
          <w:tab w:leader="none" w:pos="64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note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form of proxy card should be filed as an appendix rather than as an exhibit to the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 Refer to the Note to paragraph (a)(3) of Exchange Act Rule 14a-4.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49" w:lineRule="auto"/>
        <w:tabs>
          <w:tab w:leader="none" w:pos="737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materials prepared by Leerink and</w:t>
      </w:r>
    </w:p>
    <w:p>
      <w:pPr>
        <w:ind w:left="740"/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with Talaris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board of directors and their representatives,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any board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books, transcripts and summaries of oral presentations, that were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to the board's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decision to approve the merger and the transactions contemplated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thereby.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adequacy of their disclosures, notwithstanding any review, comments, action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absence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Christine Torney at 202-551-3652 or Daniel Gordon at 202-551-3486 if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Doris Stacey Gama at 202-551-3188 or Tim Buchmiller at 202-551-3635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LastNameMary Kay Fenton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NameTalaris Therapeutics, Inc.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16, 2023 Page 8</w:t>
      </w:r>
    </w:p>
    <w:p>
      <w:pPr>
        <w:ind w:right="7179" w:firstLine="8"/>
        <w:spacing w:after="0" w:line="238" w:lineRule="auto"/>
        <w:tabs>
          <w:tab w:leader="none" w:pos="1053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Sarah Ashfaq, Esq. FirstName LastName</w:t>
      </w:r>
    </w:p>
    <w:sectPr>
      <w:pgSz w:w="11900" w:h="16838" w:orient="portrait"/>
      <w:cols w:equalWidth="0" w:num="1">
        <w:col w:w="10139"/>
      </w:cols>
      <w:pgMar w:left="320" w:top="118" w:right="1440" w:bottom="139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2200854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4DB127F8"/>
    <w:multiLevelType w:val="hybridMultilevel"/>
    <w:lvl w:ilvl="0">
      <w:lvlJc w:val="left"/>
      <w:lvlText w:val="%1."/>
      <w:numFmt w:val="decimal"/>
      <w:start w:val="8"/>
    </w:lvl>
  </w:abstractNum>
  <w:abstractNum w:abstractNumId="2">
    <w:nsid w:val="216231B"/>
    <w:multiLevelType w:val="hybridMultilevel"/>
    <w:lvl w:ilvl="0">
      <w:lvlJc w:val="left"/>
      <w:lvlText w:val="%1."/>
      <w:numFmt w:val="decimal"/>
      <w:start w:val="11"/>
    </w:lvl>
  </w:abstractNum>
  <w:abstractNum w:abstractNumId="3">
    <w:nsid w:val="1F16E9E8"/>
    <w:multiLevelType w:val="hybridMultilevel"/>
    <w:lvl w:ilvl="0">
      <w:lvlJc w:val="left"/>
      <w:lvlText w:val="%1."/>
      <w:numFmt w:val="decimal"/>
      <w:start w:val="14"/>
    </w:lvl>
  </w:abstractNum>
  <w:abstractNum w:abstractNumId="4">
    <w:nsid w:val="1190CDE7"/>
    <w:multiLevelType w:val="hybridMultilevel"/>
    <w:lvl w:ilvl="0">
      <w:lvlJc w:val="left"/>
      <w:lvlText w:val="%1."/>
      <w:numFmt w:val="decimal"/>
      <w:start w:val="16"/>
    </w:lvl>
  </w:abstractNum>
  <w:abstractNum w:abstractNumId="5">
    <w:nsid w:val="66EF438D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decimal"/>
      <w:start w:val="2"/>
    </w:lvl>
  </w:abstractNum>
  <w:abstractNum w:abstractNumId="6">
    <w:nsid w:val="140E0F76"/>
    <w:multiLevelType w:val="hybridMultilevel"/>
    <w:lvl w:ilvl="0">
      <w:lvlJc w:val="left"/>
      <w:lvlText w:val="%1."/>
      <w:numFmt w:val="decimal"/>
      <w:start w:val="18"/>
    </w:lvl>
    <w:lvl w:ilvl="1">
      <w:lvlJc w:val="left"/>
      <w:lvlText w:val="%2"/>
      <w:numFmt w:val="decimal"/>
      <w:start w:val="1"/>
    </w:lvl>
  </w:abstractNum>
  <w:abstractNum w:abstractNumId="7">
    <w:nsid w:val="3352255A"/>
    <w:multiLevelType w:val="hybridMultilevel"/>
    <w:lvl w:ilvl="0">
      <w:lvlJc w:val="left"/>
      <w:lvlText w:val="%1."/>
      <w:numFmt w:val="decimal"/>
      <w:start w:val="22"/>
    </w:lvl>
  </w:abstractNum>
  <w:abstractNum w:abstractNumId="8">
    <w:nsid w:val="109CF92E"/>
    <w:multiLevelType w:val="hybridMultilevel"/>
    <w:lvl w:ilvl="0">
      <w:lvlJc w:val="left"/>
      <w:lvlText w:val="%1."/>
      <w:numFmt w:val="decimal"/>
      <w:start w:val="26"/>
    </w:lvl>
  </w:abstractNum>
  <w:abstractNum w:abstractNumId="9">
    <w:nsid w:val="DED7263"/>
    <w:multiLevelType w:val="hybridMultilevel"/>
    <w:lvl w:ilvl="0">
      <w:lvlJc w:val="left"/>
      <w:lvlText w:val="%1."/>
      <w:numFmt w:val="decimal"/>
      <w:start w:val="28"/>
    </w:lvl>
  </w:abstractNum>
  <w:abstractNum w:abstractNumId="10">
    <w:nsid w:val="7FDCC233"/>
    <w:multiLevelType w:val="hybridMultilevel"/>
    <w:lvl w:ilvl="0">
      <w:lvlJc w:val="left"/>
      <w:lvlText w:val="%1."/>
      <w:numFmt w:val="decimal"/>
      <w:start w:val="29"/>
    </w:lvl>
  </w:abstractNum>
  <w:abstractNum w:abstractNumId="11">
    <w:nsid w:val="1BEFD79F"/>
    <w:multiLevelType w:val="hybridMultilevel"/>
    <w:lvl w:ilvl="0">
      <w:lvlJc w:val="left"/>
      <w:lvlText w:val="%1."/>
      <w:numFmt w:val="decimal"/>
      <w:start w:val="31"/>
    </w:lvl>
  </w:abstractNum>
  <w:abstractNum w:abstractNumId="12">
    <w:nsid w:val="41A7C4C9"/>
    <w:multiLevelType w:val="hybridMultilevel"/>
    <w:lvl w:ilvl="0">
      <w:lvlJc w:val="left"/>
      <w:lvlText w:val="%1."/>
      <w:numFmt w:val="decimal"/>
      <w:start w:val="37"/>
    </w:lvl>
  </w:abstractNum>
  <w:abstractNum w:abstractNumId="13">
    <w:nsid w:val="6B68079A"/>
    <w:multiLevelType w:val="hybridMultilevel"/>
    <w:lvl w:ilvl="0">
      <w:lvlJc w:val="left"/>
      <w:lvlText w:val="%1."/>
      <w:numFmt w:val="decimal"/>
      <w:start w:val="4"/>
    </w:lvl>
  </w:abstractNum>
  <w:abstractNum w:abstractNumId="14">
    <w:nsid w:val="4E6AFB66"/>
    <w:multiLevelType w:val="hybridMultilevel"/>
    <w:lvl w:ilvl="0">
      <w:lvlJc w:val="left"/>
      <w:lvlText w:val="%1."/>
      <w:numFmt w:val="decimal"/>
      <w:start w:val="38"/>
    </w:lvl>
  </w:abstractNum>
  <w:abstractNum w:abstractNumId="15">
    <w:nsid w:val="25E45D32"/>
    <w:multiLevelType w:val="hybridMultilevel"/>
    <w:lvl w:ilvl="0">
      <w:lvlJc w:val="left"/>
      <w:lvlText w:val="99.%1."/>
      <w:numFmt w:val="decimal"/>
      <w:start w:val="1"/>
    </w:lvl>
  </w:abstractNum>
  <w:abstractNum w:abstractNumId="16">
    <w:nsid w:val="519B500D"/>
    <w:multiLevelType w:val="hybridMultilevel"/>
    <w:lvl w:ilvl="0">
      <w:lvlJc w:val="left"/>
      <w:lvlText w:val="%1."/>
      <w:numFmt w:val="decimal"/>
      <w:start w:val="41"/>
    </w:lvl>
  </w:abstractNum>
  <w:abstractNum w:abstractNumId="17">
    <w:nsid w:val="431BD7B7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2023-11-06T00:25:38Z</dcterms:created>
  <dcterms:modified xsi:type="dcterms:W3CDTF">2023-11-06T00:25:38Z</dcterms:modified>
</cp:coreProperties>
</file>