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13, 2025</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ectPr>
          <w:pgSz w:w="11900" w:h="16838" w:orient="portrait"/>
          <w:cols w:equalWidth="0" w:num="1">
            <w:col w:w="11240"/>
          </w:cols>
          <w:pgMar w:left="320" w:top="12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31" w:lineRule="exact"/>
        <w:rPr>
          <w:sz w:val="24"/>
          <w:szCs w:val="24"/>
          <w:color w:val="auto"/>
        </w:rPr>
      </w:pPr>
    </w:p>
    <w:p>
      <w:pPr>
        <w:jc w:val="both"/>
        <w:ind w:left="840" w:firstLine="45"/>
        <w:spacing w:after="0" w:line="275" w:lineRule="auto"/>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93" w:lineRule="exact"/>
        <w:rPr>
          <w:sz w:val="24"/>
          <w:szCs w:val="24"/>
          <w:color w:val="auto"/>
        </w:rPr>
      </w:pPr>
    </w:p>
    <w:tbl>
      <w:tblPr>
        <w:tblLayout w:type="fixed"/>
        <w:tblInd w:w="1520" w:type="dxa"/>
        <w:tblCellMar>
          <w:top w:w="0" w:type="dxa"/>
          <w:left w:w="0" w:type="dxa"/>
          <w:bottom w:w="0" w:type="dxa"/>
          <w:right w:w="0" w:type="dxa"/>
        </w:tblCellMar>
      </w:tblPr>
      <w:tr>
        <w:trPr>
          <w:trHeight w:val="240"/>
        </w:trPr>
        <w:tc>
          <w:tcPr>
            <w:tcW w:w="2240" w:type="dxa"/>
            <w:vAlign w:val="bottom"/>
          </w:tcPr>
          <w:p>
            <w:pPr>
              <w:jc w:val="center"/>
              <w:ind w:right="1213"/>
              <w:spacing w:after="0"/>
              <w:rPr>
                <w:sz w:val="20"/>
                <w:szCs w:val="20"/>
                <w:color w:val="auto"/>
              </w:rPr>
            </w:pPr>
            <w:r>
              <w:rPr>
                <w:rFonts w:ascii="Times New Roman" w:cs="Times New Roman" w:eastAsia="Times New Roman" w:hAnsi="Times New Roman"/>
                <w:sz w:val="20"/>
                <w:szCs w:val="20"/>
                <w:b w:val="1"/>
                <w:bCs w:val="1"/>
                <w:color w:val="auto"/>
                <w:w w:val="99"/>
              </w:rPr>
              <w:t>001-40384</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20"/>
                <w:szCs w:val="20"/>
                <w:b w:val="1"/>
                <w:bCs w:val="1"/>
                <w:color w:val="auto"/>
                <w:w w:val="99"/>
              </w:rPr>
              <w:t>83-2377352</w:t>
            </w:r>
          </w:p>
        </w:tc>
      </w:tr>
      <w:tr>
        <w:trPr>
          <w:trHeight w:val="203"/>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39"/>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33" w:lineRule="exact"/>
        <w:rPr>
          <w:sz w:val="24"/>
          <w:szCs w:val="24"/>
          <w:color w:val="auto"/>
        </w:rPr>
      </w:pPr>
    </w:p>
    <w:p>
      <w:pPr>
        <w:sectPr>
          <w:pgSz w:w="11900" w:h="16838" w:orient="portrait"/>
          <w:cols w:equalWidth="0" w:num="2">
            <w:col w:w="2940" w:space="700"/>
            <w:col w:w="7600"/>
          </w:cols>
          <w:pgMar w:left="320" w:top="12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20"/>
          <w:szCs w:val="20"/>
          <w:b w:val="1"/>
          <w:bCs w:val="1"/>
          <w:color w:val="auto"/>
        </w:rPr>
        <w:t>27 West 24th Street, Suite 702</w:t>
      </w:r>
    </w:p>
    <w:p>
      <w:pPr>
        <w:spacing w:after="0" w:line="32" w:lineRule="exact"/>
        <w:rPr>
          <w:sz w:val="24"/>
          <w:szCs w:val="24"/>
          <w:color w:val="auto"/>
        </w:rPr>
      </w:pPr>
    </w:p>
    <w:p>
      <w:pPr>
        <w:ind w:left="2060"/>
        <w:spacing w:after="0"/>
        <w:tabs>
          <w:tab w:leader="none" w:pos="8320" w:val="left"/>
        </w:tabs>
        <w:rPr>
          <w:sz w:val="20"/>
          <w:szCs w:val="20"/>
          <w:color w:val="auto"/>
        </w:rPr>
      </w:pPr>
      <w:r>
        <w:rPr>
          <w:rFonts w:ascii="Times New Roman" w:cs="Times New Roman" w:eastAsia="Times New Roman" w:hAnsi="Times New Roman"/>
          <w:sz w:val="20"/>
          <w:szCs w:val="20"/>
          <w:b w:val="1"/>
          <w:bCs w:val="1"/>
          <w:color w:val="auto"/>
        </w:rPr>
        <w:t>New York, NY</w:t>
      </w:r>
      <w:r>
        <w:rPr>
          <w:sz w:val="20"/>
          <w:szCs w:val="20"/>
          <w:color w:val="auto"/>
        </w:rPr>
        <w:tab/>
      </w:r>
      <w:r>
        <w:rPr>
          <w:rFonts w:ascii="Times New Roman" w:cs="Times New Roman" w:eastAsia="Times New Roman" w:hAnsi="Times New Roman"/>
          <w:sz w:val="19"/>
          <w:szCs w:val="19"/>
          <w:b w:val="1"/>
          <w:bCs w:val="1"/>
          <w:color w:val="auto"/>
        </w:rPr>
        <w:t>10010</w:t>
      </w:r>
    </w:p>
    <w:p>
      <w:pPr>
        <w:spacing w:after="0" w:line="11" w:lineRule="exact"/>
        <w:rPr>
          <w:sz w:val="24"/>
          <w:szCs w:val="24"/>
          <w:color w:val="auto"/>
        </w:rPr>
      </w:pPr>
    </w:p>
    <w:p>
      <w:pPr>
        <w:ind w:left="1320"/>
        <w:spacing w:after="0"/>
        <w:tabs>
          <w:tab w:leader="none" w:pos="8180" w:val="left"/>
        </w:tabs>
        <w:rPr>
          <w:sz w:val="20"/>
          <w:szCs w:val="20"/>
          <w:color w:val="auto"/>
        </w:rPr>
      </w:pPr>
      <w:r>
        <w:rPr>
          <w:rFonts w:ascii="Times New Roman" w:cs="Times New Roman" w:eastAsia="Times New Roman" w:hAnsi="Times New Roman"/>
          <w:sz w:val="16"/>
          <w:szCs w:val="16"/>
          <w:b w:val="1"/>
          <w:bCs w:val="1"/>
          <w:color w:val="auto"/>
        </w:rPr>
        <w:t>(Address of principal executive offices)</w:t>
      </w:r>
      <w:r>
        <w:rPr>
          <w:sz w:val="20"/>
          <w:szCs w:val="20"/>
          <w:color w:val="auto"/>
        </w:rPr>
        <w:tab/>
      </w:r>
      <w:r>
        <w:rPr>
          <w:rFonts w:ascii="Times New Roman" w:cs="Times New Roman" w:eastAsia="Times New Roman" w:hAnsi="Times New Roman"/>
          <w:sz w:val="16"/>
          <w:szCs w:val="16"/>
          <w:b w:val="1"/>
          <w:bCs w:val="1"/>
          <w:color w:val="auto"/>
        </w:rPr>
        <w:t>(Zip Code)</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(646) 481-9832</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3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10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43"/>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TRML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13, 2025, Tourmaline Bio, Inc. (the “Company”) issued a press release announcing its recent business highlights and financial results for the quarter and year ended December 31, 2024. A copy of the press release is furnished hereto as Exhibit 99.1 and is incorporated herein by reference.</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that section. The information contained in this Item 2.02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 No.</w:t>
            </w: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6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March 13, 2025</w:t>
            </w:r>
          </w:p>
        </w:tc>
      </w:tr>
      <w:tr>
        <w:trPr>
          <w:trHeight w:val="20"/>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r>
      <w:tr>
        <w:trPr>
          <w:trHeight w:val="304"/>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b w:val="1"/>
          <w:bCs w:val="1"/>
          <w:color w:val="auto"/>
        </w:rPr>
        <w:t>TOURMALINE BIO,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2025</w:t>
            </w:r>
          </w:p>
        </w:tc>
        <w:tc>
          <w:tcPr>
            <w:tcW w:w="28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Ryan Robinson</w:t>
            </w: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2860" w:type="dxa"/>
            <w:vAlign w:val="bottom"/>
            <w:vMerge w:val="restart"/>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86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Ryan Robinson</w:t>
            </w: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4"/>
                <w:szCs w:val="24"/>
                <w:color w:val="auto"/>
              </w:rPr>
            </w:pPr>
          </w:p>
        </w:tc>
        <w:tc>
          <w:tcPr>
            <w:tcW w:w="28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3" w:name="page4"/>
    <w:bookmarkEnd w:id="3"/>
    <w:p>
      <w:pPr>
        <w:ind w:left="10260"/>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98323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Tourmaline Bio Reports Fourth Quarter and Full Year 2024 Financial Results and Recent Business Highlights</w:t>
      </w:r>
    </w:p>
    <w:p>
      <w:pPr>
        <w:spacing w:after="0" w:line="228"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 Phase 2 TRANQUILITY trial in patents with elevated high-sensitvity C-reactve protein and chronic kidney disease over-enrolled to 143</w:t>
      </w:r>
    </w:p>
    <w:p>
      <w:pPr>
        <w:ind w:left="2320"/>
        <w:spacing w:after="0" w:line="238" w:lineRule="auto"/>
        <w:rPr>
          <w:sz w:val="20"/>
          <w:szCs w:val="20"/>
          <w:color w:val="auto"/>
        </w:rPr>
      </w:pPr>
      <w:r>
        <w:rPr>
          <w:rFonts w:ascii="Calibri" w:cs="Calibri" w:eastAsia="Calibri" w:hAnsi="Calibri"/>
          <w:sz w:val="20"/>
          <w:szCs w:val="20"/>
          <w:color w:val="auto"/>
        </w:rPr>
        <w:t>total partcipants, on track to report topline data in the second quarter of 2025 –</w:t>
      </w:r>
    </w:p>
    <w:p>
      <w:pPr>
        <w:spacing w:after="0" w:line="229"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 Cardiovascular Scientfc Advisory Board strengthened with recent appointments of Drs. Deepak L. Bhat, Dipender Gill, Paul M. Ridker,</w:t>
      </w:r>
    </w:p>
    <w:p>
      <w:pPr>
        <w:ind w:left="4640"/>
        <w:spacing w:after="0" w:line="238" w:lineRule="auto"/>
        <w:rPr>
          <w:sz w:val="20"/>
          <w:szCs w:val="20"/>
          <w:color w:val="auto"/>
        </w:rPr>
      </w:pPr>
      <w:r>
        <w:rPr>
          <w:rFonts w:ascii="Calibri" w:cs="Calibri" w:eastAsia="Calibri" w:hAnsi="Calibri"/>
          <w:sz w:val="20"/>
          <w:szCs w:val="20"/>
          <w:color w:val="auto"/>
        </w:rPr>
        <w:t>and Tabassome Simon –</w:t>
      </w:r>
    </w:p>
    <w:p>
      <w:pPr>
        <w:spacing w:after="0" w:line="252" w:lineRule="exact"/>
        <w:rPr>
          <w:sz w:val="20"/>
          <w:szCs w:val="20"/>
          <w:color w:val="auto"/>
        </w:rPr>
      </w:pPr>
    </w:p>
    <w:p>
      <w:pPr>
        <w:jc w:val="center"/>
        <w:ind w:left="4740" w:right="260" w:hanging="4152"/>
        <w:spacing w:after="0" w:line="228" w:lineRule="auto"/>
        <w:rPr>
          <w:sz w:val="20"/>
          <w:szCs w:val="20"/>
          <w:color w:val="auto"/>
        </w:rPr>
      </w:pPr>
      <w:r>
        <w:rPr>
          <w:rFonts w:ascii="Calibri" w:cs="Calibri" w:eastAsia="Calibri" w:hAnsi="Calibri"/>
          <w:sz w:val="20"/>
          <w:szCs w:val="20"/>
          <w:color w:val="auto"/>
        </w:rPr>
        <w:t>– Cash, cash equivalents, and investments of $294.9 million as of December 31, 2024, providing expected cash runway into the second half of 2027 –</w:t>
      </w:r>
    </w:p>
    <w:p>
      <w:pPr>
        <w:spacing w:after="0" w:line="252"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NEW YORK – March 13, 2025 – Tourmaline Bio, Inc. (Tourmaline) (NASDAQ: TRML), a late-stage clinical biotechnology company developing transformatve medicines to dramatcally improve the lives of patents with life-altering immune and infammatory diseases, today announced its fnancial results for the fourth quarter and year ended December 31, 2024 and outlined recent business highlights.</w:t>
      </w:r>
    </w:p>
    <w:p>
      <w:pPr>
        <w:spacing w:after="0" w:line="119"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“2024 was an important year of executon as it relates to our clinical development programs in cardiovascular infammaton and thyroid eye disease,” said Sandeep Kulkarni, MD, Co-Founder and Chief Executve Ofcer of Tourmaline. “We are now transitoning into a potentally transformatve year of data in 2025, leading of with topline data from our Phase 2 TRANQUILITY trial expected in the second quarter. Complemented by our strong balance sheet and with the support of our world-class team, we look forward to sharing our frst data readouts this year and making further progress towards realizing the enormous standard-of-care changing potental of pacibekitug.”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Clinical Highlights and Upcoming Milestones:</w:t>
      </w:r>
    </w:p>
    <w:p>
      <w:pPr>
        <w:spacing w:after="0" w:line="10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Cardiovascular Infammaton</w:t>
      </w:r>
    </w:p>
    <w:p>
      <w:pPr>
        <w:spacing w:after="0" w:line="103" w:lineRule="exact"/>
        <w:rPr>
          <w:sz w:val="20"/>
          <w:szCs w:val="20"/>
          <w:color w:val="auto"/>
        </w:rPr>
      </w:pPr>
    </w:p>
    <w:p>
      <w:pPr>
        <w:jc w:val="both"/>
        <w:ind w:left="660" w:hanging="328"/>
        <w:spacing w:after="0"/>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In December 2024, Tourmaline announced the over-enrollment of its Phase 2 TRANQUILITY trial, which evaluates quarterly and monthly subcutaneous dosing of pacibekitug in patents with elevated high-sensitvity C-reactve protein and chronic kidney disease. A total of 143 partcipants have been enrolled in the Phase 2 TRANQUILITY trial, as compared to 120 partcipants originally antcipated. Tourmaline remains on track to report topline data from the TRANQUILITY trial in the second quarter of 2025.</w:t>
      </w:r>
    </w:p>
    <w:p>
      <w:pPr>
        <w:spacing w:after="0" w:line="319" w:lineRule="exact"/>
        <w:rPr>
          <w:rFonts w:ascii="Calibri" w:cs="Calibri" w:eastAsia="Calibri" w:hAnsi="Calibri"/>
          <w:sz w:val="20"/>
          <w:szCs w:val="20"/>
          <w:color w:val="auto"/>
        </w:rPr>
      </w:pPr>
    </w:p>
    <w:p>
      <w:pPr>
        <w:jc w:val="both"/>
        <w:ind w:left="660" w:hanging="328"/>
        <w:spacing w:after="0" w:line="236"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The TRANQUILITY trial is the startng point of Tourmaline’s clinical development program for pacibekitug for the potental treatment of atherosclerotc cardiovascular disease (ASCVD) and other cardiovascular diseases. If successful, results from the TRANQUILITY trial are expected to positon pacibekitug to be Phase 3-ready for ASCVD.</w:t>
      </w:r>
    </w:p>
    <w:p>
      <w:pPr>
        <w:spacing w:after="0" w:line="103" w:lineRule="exact"/>
        <w:rPr>
          <w:rFonts w:ascii="Calibri" w:cs="Calibri" w:eastAsia="Calibri" w:hAnsi="Calibri"/>
          <w:sz w:val="20"/>
          <w:szCs w:val="20"/>
          <w:color w:val="auto"/>
        </w:rPr>
      </w:pPr>
    </w:p>
    <w:p>
      <w:pPr>
        <w:ind w:left="660" w:hanging="328"/>
        <w:spacing w:after="0" w:line="234"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At its Investor Day in December 2024, Tourmaline announced the nominaton of abdominal aortc aneurysm (AAA) as an additonal indicaton within its cardiovascular infammaton disease focus for pacibekitug.</w:t>
      </w:r>
    </w:p>
    <w:p>
      <w:pPr>
        <w:spacing w:after="0" w:line="104" w:lineRule="exact"/>
        <w:rPr>
          <w:rFonts w:ascii="Calibri" w:cs="Calibri" w:eastAsia="Calibri" w:hAnsi="Calibri"/>
          <w:sz w:val="20"/>
          <w:szCs w:val="20"/>
          <w:color w:val="auto"/>
        </w:rPr>
      </w:pPr>
    </w:p>
    <w:p>
      <w:pPr>
        <w:ind w:left="660" w:hanging="328"/>
        <w:spacing w:after="0" w:line="234"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Tourmaline expects to provide additonal details on a planned Phase 2 proof-of-concept trial in AAA afer topline results from the TRANQUILITY trial are reported in the second quarter of 2025.</w:t>
      </w:r>
    </w:p>
    <w:p>
      <w:pPr>
        <w:sectPr>
          <w:pgSz w:w="11900" w:h="16838" w:orient="portrait"/>
          <w:cols w:equalWidth="0" w:num="1">
            <w:col w:w="11240"/>
          </w:cols>
          <w:pgMar w:left="320" w:top="105" w:right="339" w:bottom="1440" w:gutter="0" w:footer="0" w:header="0"/>
        </w:sectPr>
      </w:pPr>
    </w:p>
    <w:bookmarkStart w:id="4" w:name="page5"/>
    <w:bookmarkEnd w:id="4"/>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0"/>
          <w:szCs w:val="20"/>
          <w:b w:val="1"/>
          <w:bCs w:val="1"/>
          <w:i w:val="1"/>
          <w:iCs w:val="1"/>
          <w:color w:val="auto"/>
        </w:rPr>
        <w:t>Thyroid Eye Disease (TED)</w:t>
      </w:r>
    </w:p>
    <w:p>
      <w:pPr>
        <w:spacing w:after="0" w:line="117" w:lineRule="exact"/>
        <w:rPr>
          <w:sz w:val="20"/>
          <w:szCs w:val="20"/>
          <w:color w:val="auto"/>
        </w:rPr>
      </w:pPr>
    </w:p>
    <w:p>
      <w:pPr>
        <w:ind w:left="660" w:right="20" w:hanging="328"/>
        <w:spacing w:after="0" w:line="228"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The Phase 2b spiriTED trial remains ongoing, and Tourmaline contnues to expect topline data from this trial in the second half of 2025.</w:t>
      </w:r>
    </w:p>
    <w:p>
      <w:pPr>
        <w:spacing w:after="0" w:line="116" w:lineRule="exact"/>
        <w:rPr>
          <w:rFonts w:ascii="Calibri" w:cs="Calibri" w:eastAsia="Calibri" w:hAnsi="Calibri"/>
          <w:sz w:val="20"/>
          <w:szCs w:val="20"/>
          <w:color w:val="auto"/>
        </w:rPr>
      </w:pPr>
    </w:p>
    <w:p>
      <w:pPr>
        <w:ind w:left="660" w:hanging="328"/>
        <w:spacing w:after="0" w:line="228" w:lineRule="auto"/>
        <w:tabs>
          <w:tab w:leader="none" w:pos="653"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Tourmaline expects to provide additonal informaton on its future development plans in TED afer review of data from the Phase 2b spiriTED trial.</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Other Corporate Highlights:</w:t>
      </w:r>
    </w:p>
    <w:p>
      <w:pPr>
        <w:spacing w:after="0" w:line="117" w:lineRule="exact"/>
        <w:rPr>
          <w:sz w:val="20"/>
          <w:szCs w:val="20"/>
          <w:color w:val="auto"/>
        </w:rPr>
      </w:pPr>
    </w:p>
    <w:p>
      <w:pPr>
        <w:jc w:val="both"/>
        <w:ind w:left="660" w:hanging="328"/>
        <w:spacing w:after="0"/>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Tourmaline has contnued to bolster its world-class Cardiovascular Scientfc Advisory Board (CV SAB), which is providing invaluable strategic guidance toward the expected future development of pacibekitug to reduce infammaton in cardiovascular diseases.</w:t>
      </w:r>
    </w:p>
    <w:p>
      <w:pPr>
        <w:spacing w:after="0" w:line="321" w:lineRule="exact"/>
        <w:rPr>
          <w:rFonts w:ascii="Calibri" w:cs="Calibri" w:eastAsia="Calibri" w:hAnsi="Calibri"/>
          <w:sz w:val="20"/>
          <w:szCs w:val="20"/>
          <w:color w:val="auto"/>
        </w:rPr>
      </w:pPr>
    </w:p>
    <w:p>
      <w:pPr>
        <w:jc w:val="both"/>
        <w:ind w:left="1300" w:hanging="320"/>
        <w:spacing w:after="0" w:line="233" w:lineRule="auto"/>
        <w:tabs>
          <w:tab w:leader="none" w:pos="1343"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In December 2024, Tourmaline announced that Deepak L. Bhat, MD, MPH, MBA, FACC, FAHA, FESC, MSCAI and Dipender Gill, MD, PhD had joined the CV SAB. Dr. Bhat is the Director of the Mount Sinai Fuster Heart Hospital and the Dr. Valentn Fuster Professor of Cardiovascular Medicine at the Icahn School of Medicine at Mount Sinai in New York City. Dr. Gill is the CEO and Founder of Sequoia Genetcs.</w:t>
      </w:r>
    </w:p>
    <w:p>
      <w:pPr>
        <w:spacing w:after="0" w:line="118" w:lineRule="exact"/>
        <w:rPr>
          <w:rFonts w:ascii="Arial" w:cs="Arial" w:eastAsia="Arial" w:hAnsi="Arial"/>
          <w:sz w:val="20"/>
          <w:szCs w:val="20"/>
          <w:color w:val="auto"/>
        </w:rPr>
      </w:pPr>
    </w:p>
    <w:p>
      <w:pPr>
        <w:jc w:val="both"/>
        <w:ind w:left="1300" w:hanging="320"/>
        <w:spacing w:after="0" w:line="231" w:lineRule="auto"/>
        <w:tabs>
          <w:tab w:leader="none" w:pos="1303"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In January 2025, Tourmaline announced that Paul M. Ridker, MD, MPH had joined the CV SAB. Dr. Ridker is the Eugene Braunwald Professor of Medicine at the Harvard Medical School and Director of the Center for Cardiovascular Disease Preventon at Brigham and Women’s Hospital.</w:t>
      </w:r>
    </w:p>
    <w:p>
      <w:pPr>
        <w:spacing w:after="0" w:line="118" w:lineRule="exact"/>
        <w:rPr>
          <w:rFonts w:ascii="Arial" w:cs="Arial" w:eastAsia="Arial" w:hAnsi="Arial"/>
          <w:sz w:val="20"/>
          <w:szCs w:val="20"/>
          <w:color w:val="auto"/>
        </w:rPr>
      </w:pPr>
    </w:p>
    <w:p>
      <w:pPr>
        <w:jc w:val="both"/>
        <w:ind w:left="1300" w:hanging="320"/>
        <w:spacing w:after="0"/>
        <w:tabs>
          <w:tab w:leader="none" w:pos="1330" w:val="left"/>
        </w:tabs>
        <w:numPr>
          <w:ilvl w:val="1"/>
          <w:numId w:val="5"/>
        </w:numPr>
        <w:rPr>
          <w:rFonts w:ascii="Arial" w:cs="Arial" w:eastAsia="Arial" w:hAnsi="Arial"/>
          <w:sz w:val="20"/>
          <w:szCs w:val="20"/>
          <w:color w:val="auto"/>
        </w:rPr>
      </w:pPr>
      <w:r>
        <w:rPr>
          <w:rFonts w:ascii="Calibri" w:cs="Calibri" w:eastAsia="Calibri" w:hAnsi="Calibri"/>
          <w:sz w:val="20"/>
          <w:szCs w:val="20"/>
          <w:color w:val="auto"/>
        </w:rPr>
        <w:t xml:space="preserve">Additonally, Tourmaline is announcing today that Tabassome Simon, MD, PhD has joined the CV SAB. Dr. Simon is Professor of Medicine and Clinical Pharmacology in the Department of Pharmacology at Assistance Publique-Hôpitaux de Paris (AP-HP, Saint-Antoine Hospital) and Sorbonne Université. Dr. Simon’s primary research focuses on the impact of therapeutcs on secondary preventon in cardiology and emergency care. She is currently the scientfc coordinator of ongoing mult-center trials including studies in myocardial infarcton, a member of several Executve Commitees and Data Safety Monitoring Boards in natonal and internatonal trials and has published more than 340 artcles in internatonal peer-reviewed journals, including </w:t>
      </w:r>
      <w:r>
        <w:rPr>
          <w:rFonts w:ascii="Calibri" w:cs="Calibri" w:eastAsia="Calibri" w:hAnsi="Calibri"/>
          <w:sz w:val="20"/>
          <w:szCs w:val="20"/>
          <w:i w:val="1"/>
          <w:iCs w:val="1"/>
          <w:color w:val="auto"/>
        </w:rPr>
        <w:t>The New England Journal of Medicine</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The Lancet</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JAMA</w:t>
      </w:r>
      <w:r>
        <w:rPr>
          <w:rFonts w:ascii="Calibri" w:cs="Calibri" w:eastAsia="Calibri" w:hAnsi="Calibri"/>
          <w:sz w:val="20"/>
          <w:szCs w:val="20"/>
          <w:color w:val="auto"/>
        </w:rPr>
        <w:t xml:space="preserve">, and </w:t>
      </w:r>
      <w:r>
        <w:rPr>
          <w:rFonts w:ascii="Calibri" w:cs="Calibri" w:eastAsia="Calibri" w:hAnsi="Calibri"/>
          <w:sz w:val="20"/>
          <w:szCs w:val="20"/>
          <w:i w:val="1"/>
          <w:iCs w:val="1"/>
          <w:color w:val="auto"/>
        </w:rPr>
        <w:t>Annals of</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Internal Medicine</w:t>
      </w:r>
      <w:r>
        <w:rPr>
          <w:rFonts w:ascii="Calibri" w:cs="Calibri" w:eastAsia="Calibri" w:hAnsi="Calibri"/>
          <w:sz w:val="20"/>
          <w:szCs w:val="20"/>
          <w:color w:val="auto"/>
        </w:rPr>
        <w:t>.</w:t>
      </w:r>
    </w:p>
    <w:p>
      <w:pPr>
        <w:spacing w:after="0" w:line="289" w:lineRule="exact"/>
        <w:rPr>
          <w:rFonts w:ascii="Arial" w:cs="Arial" w:eastAsia="Arial" w:hAnsi="Arial"/>
          <w:sz w:val="20"/>
          <w:szCs w:val="20"/>
          <w:color w:val="auto"/>
        </w:rPr>
      </w:pPr>
    </w:p>
    <w:p>
      <w:pPr>
        <w:ind w:left="660" w:hanging="328"/>
        <w:spacing w:after="0" w:line="234"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 xml:space="preserve">In November 2024, Tourmaline hosted an expert webinar on the human genetc validaton for IL-6 inhibiton in cardiovascular disease with Dr. Gill. A replay of this webinar can be accessed </w:t>
      </w:r>
      <w:r>
        <w:rPr>
          <w:rFonts w:ascii="Calibri" w:cs="Calibri" w:eastAsia="Calibri" w:hAnsi="Calibri"/>
          <w:sz w:val="20"/>
          <w:szCs w:val="20"/>
          <w:u w:val="single" w:color="auto"/>
          <w:color w:val="0000FF"/>
        </w:rPr>
        <w:t>here</w:t>
      </w:r>
      <w:r>
        <w:rPr>
          <w:rFonts w:ascii="Calibri" w:cs="Calibri" w:eastAsia="Calibri" w:hAnsi="Calibri"/>
          <w:sz w:val="20"/>
          <w:szCs w:val="20"/>
          <w:color w:val="auto"/>
        </w:rPr>
        <w:t>.</w:t>
      </w:r>
    </w:p>
    <w:p>
      <w:pPr>
        <w:spacing w:after="0" w:line="104" w:lineRule="exact"/>
        <w:rPr>
          <w:rFonts w:ascii="Calibri" w:cs="Calibri" w:eastAsia="Calibri" w:hAnsi="Calibri"/>
          <w:sz w:val="20"/>
          <w:szCs w:val="20"/>
          <w:color w:val="auto"/>
        </w:rPr>
      </w:pPr>
    </w:p>
    <w:p>
      <w:pPr>
        <w:jc w:val="both"/>
        <w:ind w:left="660" w:hanging="328"/>
        <w:spacing w:after="0" w:line="233" w:lineRule="auto"/>
        <w:tabs>
          <w:tab w:leader="none" w:pos="653"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 xml:space="preserve">In December 2024, Tourmaline hosted its frst Investor Day, highlightng its focus on cardiovascular infammaton and featuring Dr. Marc Bonaca, Executve Director of CPC Clinical Research and Professor of Medicine and William R. Hiat Endowed Chair in Cardiovascular Research at the University of Colorado Anschutz. Dr. Bonaca is also a member of Tourmaline’s CV SAB. A replay of Investor Day can be accessed </w:t>
      </w:r>
      <w:r>
        <w:rPr>
          <w:rFonts w:ascii="Calibri" w:cs="Calibri" w:eastAsia="Calibri" w:hAnsi="Calibri"/>
          <w:sz w:val="20"/>
          <w:szCs w:val="20"/>
          <w:u w:val="single" w:color="auto"/>
          <w:color w:val="0000FF"/>
        </w:rPr>
        <w:t>here</w:t>
      </w:r>
      <w:r>
        <w:rPr>
          <w:rFonts w:ascii="Calibri" w:cs="Calibri" w:eastAsia="Calibri" w:hAnsi="Calibri"/>
          <w:sz w:val="20"/>
          <w:szCs w:val="20"/>
          <w:color w:val="auto"/>
        </w:rPr>
        <w:t>.</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Fourth Quarter and Full Year 2024 Financial Results: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Cash Positon</w:t>
      </w:r>
    </w:p>
    <w:p>
      <w:pPr>
        <w:spacing w:after="0" w:line="117" w:lineRule="exact"/>
        <w:rPr>
          <w:sz w:val="20"/>
          <w:szCs w:val="20"/>
          <w:color w:val="auto"/>
        </w:rPr>
      </w:pPr>
    </w:p>
    <w:p>
      <w:pPr>
        <w:jc w:val="both"/>
        <w:ind w:left="660" w:hanging="328"/>
        <w:spacing w:after="0" w:line="231" w:lineRule="auto"/>
        <w:tabs>
          <w:tab w:leader="none" w:pos="653"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Cash, cash equivalents and investments were $294.9 million as of December 31, 2024, as compared to $203.0 million as of December 31, 2023. Tourmaline antcipates that its current cash, cash equivalents, and investments will provide cash runway into the second half of 2027,</w:t>
      </w:r>
    </w:p>
    <w:p>
      <w:pPr>
        <w:sectPr>
          <w:pgSz w:w="11900" w:h="16838" w:orient="portrait"/>
          <w:cols w:equalWidth="0" w:num="1">
            <w:col w:w="11240"/>
          </w:cols>
          <w:pgMar w:left="320" w:top="1440" w:right="339" w:bottom="1440" w:gutter="0" w:footer="0" w:header="0"/>
        </w:sectPr>
      </w:pPr>
    </w:p>
    <w:bookmarkStart w:id="5" w:name="page6"/>
    <w:bookmarkEnd w:id="5"/>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ind w:left="660"/>
        <w:spacing w:after="0" w:line="234" w:lineRule="auto"/>
        <w:rPr>
          <w:sz w:val="20"/>
          <w:szCs w:val="20"/>
          <w:color w:val="auto"/>
        </w:rPr>
      </w:pPr>
      <w:r>
        <w:rPr>
          <w:rFonts w:ascii="Calibri" w:cs="Calibri" w:eastAsia="Calibri" w:hAnsi="Calibri"/>
          <w:sz w:val="20"/>
          <w:szCs w:val="20"/>
          <w:color w:val="auto"/>
        </w:rPr>
        <w:t>funding its operatons through key pacibekitug data readouts in cardiovascular infammaton and TED as well as other pacibekitug development actvites.</w:t>
      </w:r>
    </w:p>
    <w:p>
      <w:pPr>
        <w:spacing w:after="0" w:line="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Research and Development Expenses</w:t>
      </w:r>
    </w:p>
    <w:p>
      <w:pPr>
        <w:spacing w:after="0" w:line="117" w:lineRule="exact"/>
        <w:rPr>
          <w:sz w:val="20"/>
          <w:szCs w:val="20"/>
          <w:color w:val="auto"/>
        </w:rPr>
      </w:pPr>
    </w:p>
    <w:p>
      <w:pPr>
        <w:ind w:left="660" w:hanging="328"/>
        <w:spacing w:after="0" w:line="228" w:lineRule="auto"/>
        <w:tabs>
          <w:tab w:leader="none" w:pos="653"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Research and development expenses were $20.5 million for the fourth quarter of 2024, as compared to $8.0 million for the fourth quarter of 2023.</w:t>
      </w:r>
    </w:p>
    <w:p>
      <w:pPr>
        <w:spacing w:after="0" w:line="116" w:lineRule="exact"/>
        <w:rPr>
          <w:rFonts w:ascii="Calibri" w:cs="Calibri" w:eastAsia="Calibri" w:hAnsi="Calibri"/>
          <w:sz w:val="20"/>
          <w:szCs w:val="20"/>
          <w:color w:val="auto"/>
        </w:rPr>
      </w:pPr>
    </w:p>
    <w:p>
      <w:pPr>
        <w:ind w:left="660" w:hanging="328"/>
        <w:spacing w:after="0" w:line="234" w:lineRule="auto"/>
        <w:tabs>
          <w:tab w:leader="none" w:pos="653"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Research and development expenses were $67.0 million for the full year ended December 31, 2024, as compared to $32.4 million for the full year ended December 31, 2023.</w:t>
      </w:r>
    </w:p>
    <w:p>
      <w:pPr>
        <w:spacing w:after="0" w:line="104" w:lineRule="exact"/>
        <w:rPr>
          <w:rFonts w:ascii="Calibri" w:cs="Calibri" w:eastAsia="Calibri" w:hAnsi="Calibri"/>
          <w:sz w:val="20"/>
          <w:szCs w:val="20"/>
          <w:color w:val="auto"/>
        </w:rPr>
      </w:pPr>
    </w:p>
    <w:p>
      <w:pPr>
        <w:jc w:val="both"/>
        <w:ind w:left="660" w:hanging="328"/>
        <w:spacing w:after="0" w:line="231" w:lineRule="auto"/>
        <w:tabs>
          <w:tab w:leader="none" w:pos="653"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The increase in research and development expenses for both periods was primarily driven by increased employee compensaton costs atributable to additonal headcount, increased clinical trial expenses directly related to the TRANQUILITY and spiriTED trials, increased drug manufacturing expenses, and increased medical afairs costs.</w:t>
      </w:r>
    </w:p>
    <w:p>
      <w:pPr>
        <w:spacing w:after="0" w:line="10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General and Administratve Expenses</w:t>
      </w:r>
    </w:p>
    <w:p>
      <w:pPr>
        <w:spacing w:after="0" w:line="117" w:lineRule="exact"/>
        <w:rPr>
          <w:sz w:val="20"/>
          <w:szCs w:val="20"/>
          <w:color w:val="auto"/>
        </w:rPr>
      </w:pPr>
    </w:p>
    <w:p>
      <w:pPr>
        <w:ind w:left="660" w:hanging="328"/>
        <w:spacing w:after="0" w:line="228"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General and administratve expenses were $5.3 million for the fourth quarter of 2024, as compared to $6.9 million for the fourth quarter of 2023.</w:t>
      </w:r>
    </w:p>
    <w:p>
      <w:pPr>
        <w:spacing w:after="0" w:line="116" w:lineRule="exact"/>
        <w:rPr>
          <w:rFonts w:ascii="Calibri" w:cs="Calibri" w:eastAsia="Calibri" w:hAnsi="Calibri"/>
          <w:sz w:val="20"/>
          <w:szCs w:val="20"/>
          <w:color w:val="auto"/>
        </w:rPr>
      </w:pPr>
    </w:p>
    <w:p>
      <w:pPr>
        <w:ind w:left="660" w:hanging="328"/>
        <w:spacing w:after="0" w:line="228"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General and administratve expenses were $22.7 million for the full year ended December 31, 2024, as compared to $13.0 million for the full year ended December 31, 2023.</w:t>
      </w:r>
    </w:p>
    <w:p>
      <w:pPr>
        <w:spacing w:after="0" w:line="116" w:lineRule="exact"/>
        <w:rPr>
          <w:rFonts w:ascii="Calibri" w:cs="Calibri" w:eastAsia="Calibri" w:hAnsi="Calibri"/>
          <w:sz w:val="20"/>
          <w:szCs w:val="20"/>
          <w:color w:val="auto"/>
        </w:rPr>
      </w:pPr>
    </w:p>
    <w:p>
      <w:pPr>
        <w:jc w:val="both"/>
        <w:ind w:left="660" w:hanging="328"/>
        <w:spacing w:after="0" w:line="231"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The decrease in general and administratve expenses from the fourth quarter of 2023 to the fourth quarter of 2024 was primarily driven by decreased stock-based compensaton expense. The increase in general and administratve expenses from the full year ended December 31, 2023 to the full year ended December 31, 2024 was primarily driven by employee compensaton costs atributable to increased headcount, increased professional services fees, and increased insurance expenses associated with being a public company.</w:t>
      </w:r>
    </w:p>
    <w:p>
      <w:pPr>
        <w:spacing w:after="0" w:line="11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Net Loss</w:t>
      </w:r>
    </w:p>
    <w:p>
      <w:pPr>
        <w:spacing w:after="0" w:line="103" w:lineRule="exact"/>
        <w:rPr>
          <w:sz w:val="20"/>
          <w:szCs w:val="20"/>
          <w:color w:val="auto"/>
        </w:rPr>
      </w:pPr>
    </w:p>
    <w:p>
      <w:pPr>
        <w:ind w:left="660" w:hanging="328"/>
        <w:spacing w:after="0" w:line="234"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Net loss was $22.2 million for the fourth quarter of 2024 and $12.9 million for the fourth quarter of 2023, resultng in basic and diluted net loss per share of $0.86 and $0.81, respectvely.</w:t>
      </w:r>
    </w:p>
    <w:p>
      <w:pPr>
        <w:spacing w:after="0" w:line="117" w:lineRule="exact"/>
        <w:rPr>
          <w:rFonts w:ascii="Calibri" w:cs="Calibri" w:eastAsia="Calibri" w:hAnsi="Calibri"/>
          <w:sz w:val="20"/>
          <w:szCs w:val="20"/>
          <w:color w:val="auto"/>
        </w:rPr>
      </w:pPr>
    </w:p>
    <w:p>
      <w:pPr>
        <w:ind w:left="660" w:right="20" w:hanging="328"/>
        <w:spacing w:after="0" w:line="228"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Net loss was $73.2 million for the full year ended December 31, 2024 and $42.1 million for the full year ended December 31, 2023, resultng in basic and diluted net loss per share of $2.89 and $8.87, respectvely.</w:t>
      </w:r>
    </w:p>
    <w:p>
      <w:pPr>
        <w:spacing w:after="0" w:line="116" w:lineRule="exact"/>
        <w:rPr>
          <w:rFonts w:ascii="Calibri" w:cs="Calibri" w:eastAsia="Calibri" w:hAnsi="Calibri"/>
          <w:sz w:val="20"/>
          <w:szCs w:val="20"/>
          <w:color w:val="auto"/>
        </w:rPr>
      </w:pPr>
    </w:p>
    <w:p>
      <w:pPr>
        <w:jc w:val="both"/>
        <w:ind w:left="660" w:hanging="328"/>
        <w:spacing w:after="0" w:line="231"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The increase in net loss for both periods and the increase in net loss per share from the fourth quarter of 2023 to the fourth quarter of 2024 was atributable to increased operatng expenses and Tourmaline’s overall growth during 2024. The decrease in net loss per share from the full year ended December 31, 2023 to the full year ended December 31, 2024 was atributable to the issuance of additonal shares of common stock in conjuncton with Tourmaline’s reverse merger and private placement completed in October 2023 and the underwriten follow-on public ofering completed by Tourmaline in January 2024.</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Tourmaline Bio:</w:t>
      </w:r>
    </w:p>
    <w:p>
      <w:pPr>
        <w:spacing w:after="0" w:line="10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 xml:space="preserve">Tourmaline is a late-stage clinical biotechnology company driven by its mission to develop transformatve medicines that dramatcally improve the lives of patents with life-altering immune and infammatory diseases. Tourmaline’s lead asset is pacibekitug (also referred to as TOUR006). For more informaton, please visit </w:t>
      </w:r>
      <w:r>
        <w:rPr>
          <w:rFonts w:ascii="Calibri" w:cs="Calibri" w:eastAsia="Calibri" w:hAnsi="Calibri"/>
          <w:sz w:val="20"/>
          <w:szCs w:val="20"/>
          <w:u w:val="single" w:color="auto"/>
          <w:color w:val="0000FF"/>
        </w:rPr>
        <w:t>htps://www.tourmalinebio.com</w:t>
      </w:r>
      <w:r>
        <w:rPr>
          <w:rFonts w:ascii="Calibri" w:cs="Calibri" w:eastAsia="Calibri" w:hAnsi="Calibri"/>
          <w:sz w:val="20"/>
          <w:szCs w:val="20"/>
          <w:color w:val="auto"/>
        </w:rPr>
        <w:t xml:space="preserve"> or follow us on </w:t>
      </w:r>
      <w:r>
        <w:rPr>
          <w:rFonts w:ascii="Calibri" w:cs="Calibri" w:eastAsia="Calibri" w:hAnsi="Calibri"/>
          <w:sz w:val="20"/>
          <w:szCs w:val="20"/>
          <w:u w:val="single" w:color="auto"/>
          <w:color w:val="0000FF"/>
        </w:rPr>
        <w:t>LinkedIn</w:t>
      </w:r>
      <w:r>
        <w:rPr>
          <w:rFonts w:ascii="Calibri" w:cs="Calibri" w:eastAsia="Calibri" w:hAnsi="Calibri"/>
          <w:sz w:val="20"/>
          <w:szCs w:val="20"/>
          <w:color w:val="auto"/>
        </w:rPr>
        <w:t xml:space="preserve"> or </w:t>
      </w:r>
      <w:r>
        <w:rPr>
          <w:rFonts w:ascii="Calibri" w:cs="Calibri" w:eastAsia="Calibri" w:hAnsi="Calibri"/>
          <w:sz w:val="20"/>
          <w:szCs w:val="20"/>
          <w:u w:val="single" w:color="auto"/>
          <w:color w:val="0000FF"/>
        </w:rPr>
        <w:t>X</w:t>
      </w:r>
      <w:r>
        <w:rPr>
          <w:rFonts w:ascii="Calibri" w:cs="Calibri" w:eastAsia="Calibri" w:hAnsi="Calibri"/>
          <w:sz w:val="20"/>
          <w:szCs w:val="20"/>
          <w:color w:val="auto"/>
        </w:rPr>
        <w:t>.</w:t>
      </w:r>
    </w:p>
    <w:p>
      <w:pPr>
        <w:sectPr>
          <w:pgSz w:w="11900" w:h="16838" w:orient="portrait"/>
          <w:cols w:equalWidth="0" w:num="1">
            <w:col w:w="11240"/>
          </w:cols>
          <w:pgMar w:left="320" w:top="1440" w:right="339" w:bottom="1440" w:gutter="0" w:footer="0" w:header="0"/>
        </w:sectPr>
      </w:pPr>
    </w:p>
    <w:bookmarkStart w:id="6" w:name="page7"/>
    <w:bookmarkEnd w:id="6"/>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0"/>
          <w:szCs w:val="20"/>
          <w:b w:val="1"/>
          <w:bCs w:val="1"/>
          <w:color w:val="auto"/>
        </w:rPr>
        <w:t>About Pacibekitug:</w:t>
      </w:r>
    </w:p>
    <w:p>
      <w:pPr>
        <w:spacing w:after="0" w:line="117" w:lineRule="exact"/>
        <w:rPr>
          <w:sz w:val="20"/>
          <w:szCs w:val="20"/>
          <w:color w:val="auto"/>
        </w:rPr>
      </w:pPr>
    </w:p>
    <w:p>
      <w:pPr>
        <w:jc w:val="both"/>
        <w:ind w:right="20"/>
        <w:spacing w:after="0" w:line="231" w:lineRule="auto"/>
        <w:rPr>
          <w:sz w:val="20"/>
          <w:szCs w:val="20"/>
          <w:color w:val="auto"/>
        </w:rPr>
      </w:pPr>
      <w:r>
        <w:rPr>
          <w:rFonts w:ascii="Calibri" w:cs="Calibri" w:eastAsia="Calibri" w:hAnsi="Calibri"/>
          <w:sz w:val="20"/>
          <w:szCs w:val="20"/>
          <w:color w:val="auto"/>
        </w:rPr>
        <w:t>Pacibekitug (also referred to as TOUR006) is a long-actng, fully-human, ant-IL-6 monoclonal antbody with best-in-class potental and diferentated propertes including a naturally long half-life, low immunogenicity, and high binding afnity to IL-6. Pacibekitug has been previously studied in approximately 450 partcipants, including patents with autoimmune disorders, across six completed clinical trials. Tourmaline is currently developing pacibekitug in atherosclerotc cardiovascular disease (ASCVD) and thyroid eye disease (TED) as its frst two indicatons, with plans to expand into abdominal aortc aneurysm (AAA) and additonal diseases in the future.</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Forward-Looking Statements:</w:t>
      </w:r>
    </w:p>
    <w:p>
      <w:pPr>
        <w:spacing w:after="0" w:line="103"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Any statements contained in this press release that do not describe historical facts may consttute forward-looking statements as that term is defned in the Private Securites Litgaton Reform Act of 1995. These statements may be identfed by words and phrases such as “believe,” “designed to,” “expect,” “may,” “plan,” “potental,” “will” and similar expressions, and are based on Tourmaline’s current beliefs and expectatons. These forward-looking statements include expectatons regarding the development and potental therapeutc benefts of pacibekitug; the tming of initaton, progress and results of Tourmaline’s current and future clinical trials for pacibekitug, including reportng of data therefrom; the tming of Phase 3 clinical trial readiness; the standard-of-care changing potental of pacibekitug; and the tming and potental to expand pacibekitug into additonal indicatons. These statements involve risks and uncertaintes that could cause actual results to difer materially from those refected in such statements. Risks and uncertaintes that may cause actual results to difer materially include uncertaintes inherent in the development of therapeutc product candidates, such as the risk that any one or more of Tourmaline’s current or future product candidates will not be successfully developed or commercialized; the risk of delay or cessaton of any planned clinical trials of Tourmaline’s current or future product candidates; the risk that prior results, such as signals of safety, actvity or durability of efect, observed from preclinical trials, will not be replicated or will not contnue in ongoing or future studies or clinical trials involving Tourmaline’s current or future product candidates; the risk that Tourmaline’s current or future product candidates or procedures in connecton with the administraton thereof will not have the safety or efcacy profle that Tourmaline antcipates; risks regarding the accuracy of Tourmaline’s estmates of expenses, capital requirements and needs for additonal fnancing; changes in expected or existng competton; changes in the regulatory environment; the uncertaintes and tming of the regulatory approval process; unexpected litgaton or other disputes; the impacts of macroeconomic conditons Tourmaline’s business, clinical trials and fnancial positon; and other risks and uncertaintes that are described in Tourmaline’s Annual Report on Form 10-K fled with the U.S. Securites and Exchange Commission (“SEC”) on March 13, 2025 and other flings that Tourmaline makes with the SEC from tme to tme. Any forward-looking statements speak only as of the date of this press release and are based on informaton available to Tourmaline as of the date hereof, and Tourmaline assumes no obligaton to, and does not intend to, update any forward-looking statements, whether as a result of new informaton, future events or otherwise.</w:t>
      </w:r>
    </w:p>
    <w:p>
      <w:pPr>
        <w:sectPr>
          <w:pgSz w:w="11900" w:h="16838" w:orient="portrait"/>
          <w:cols w:equalWidth="0" w:num="1">
            <w:col w:w="11240"/>
          </w:cols>
          <w:pgMar w:left="320" w:top="1440" w:right="339" w:bottom="1440" w:gutter="0" w:footer="0" w:header="0"/>
        </w:sectPr>
      </w:pPr>
    </w:p>
    <w:bookmarkStart w:id="7" w:name="page8"/>
    <w:bookmarkEnd w:id="7"/>
    <w:p>
      <w:pPr>
        <w:jc w:val="center"/>
        <w:ind w:right="20"/>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t>Tourmaline Bio, Inc.</w:t>
      </w:r>
    </w:p>
    <w:p>
      <w:pPr>
        <w:jc w:val="center"/>
        <w:ind w:right="20"/>
        <w:spacing w:after="0" w:line="215" w:lineRule="auto"/>
        <w:rPr>
          <w:sz w:val="20"/>
          <w:szCs w:val="20"/>
          <w:color w:val="auto"/>
        </w:rPr>
      </w:pPr>
      <w:r>
        <w:rPr>
          <w:rFonts w:ascii="Calibri" w:cs="Calibri" w:eastAsia="Calibri" w:hAnsi="Calibri"/>
          <w:sz w:val="22"/>
          <w:szCs w:val="22"/>
          <w:b w:val="1"/>
          <w:bCs w:val="1"/>
          <w:color w:val="auto"/>
        </w:rPr>
        <w:t>Consolidated Statements of Operatons (unaudited)</w:t>
      </w:r>
    </w:p>
    <w:p>
      <w:pPr>
        <w:jc w:val="center"/>
        <w:ind w:right="20"/>
        <w:spacing w:after="0" w:line="231" w:lineRule="auto"/>
        <w:rPr>
          <w:sz w:val="20"/>
          <w:szCs w:val="20"/>
          <w:color w:val="auto"/>
        </w:rPr>
      </w:pPr>
      <w:r>
        <w:rPr>
          <w:rFonts w:ascii="Calibri" w:cs="Calibri" w:eastAsia="Calibri" w:hAnsi="Calibri"/>
          <w:sz w:val="22"/>
          <w:szCs w:val="22"/>
          <w:b w:val="1"/>
          <w:bCs w:val="1"/>
          <w:color w:val="auto"/>
        </w:rPr>
        <w:t>(amounts in thousands, except per share data)</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80" w:type="dxa"/>
            <w:vAlign w:val="bottom"/>
            <w:gridSpan w:val="5"/>
          </w:tcPr>
          <w:p>
            <w:pPr>
              <w:ind w:left="400"/>
              <w:spacing w:after="0"/>
              <w:rPr>
                <w:sz w:val="20"/>
                <w:szCs w:val="20"/>
                <w:color w:val="auto"/>
              </w:rPr>
            </w:pPr>
            <w:r>
              <w:rPr>
                <w:rFonts w:ascii="Calibri" w:cs="Calibri" w:eastAsia="Calibri" w:hAnsi="Calibri"/>
                <w:sz w:val="20"/>
                <w:szCs w:val="20"/>
                <w:b w:val="1"/>
                <w:bCs w:val="1"/>
                <w:color w:val="auto"/>
              </w:rPr>
              <w:t>Three Months Ended</w:t>
            </w:r>
          </w:p>
        </w:tc>
        <w:tc>
          <w:tcPr>
            <w:tcW w:w="340" w:type="dxa"/>
            <w:vAlign w:val="bottom"/>
          </w:tcPr>
          <w:p>
            <w:pPr>
              <w:spacing w:after="0"/>
              <w:rPr>
                <w:sz w:val="21"/>
                <w:szCs w:val="21"/>
                <w:color w:val="auto"/>
              </w:rPr>
            </w:pPr>
          </w:p>
        </w:tc>
        <w:tc>
          <w:tcPr>
            <w:tcW w:w="1900" w:type="dxa"/>
            <w:vAlign w:val="bottom"/>
            <w:gridSpan w:val="3"/>
          </w:tcPr>
          <w:p>
            <w:pPr>
              <w:jc w:val="right"/>
              <w:ind w:right="41"/>
              <w:spacing w:after="0"/>
              <w:rPr>
                <w:sz w:val="20"/>
                <w:szCs w:val="20"/>
                <w:color w:val="auto"/>
              </w:rPr>
            </w:pPr>
            <w:r>
              <w:rPr>
                <w:rFonts w:ascii="Calibri" w:cs="Calibri" w:eastAsia="Calibri" w:hAnsi="Calibri"/>
                <w:sz w:val="20"/>
                <w:szCs w:val="20"/>
                <w:b w:val="1"/>
                <w:bCs w:val="1"/>
                <w:color w:val="auto"/>
              </w:rPr>
              <w:t>Year Ended</w:t>
            </w:r>
          </w:p>
        </w:tc>
        <w:tc>
          <w:tcPr>
            <w:tcW w:w="1020" w:type="dxa"/>
            <w:vAlign w:val="bottom"/>
          </w:tcPr>
          <w:p>
            <w:pPr>
              <w:spacing w:after="0"/>
              <w:rPr>
                <w:sz w:val="21"/>
                <w:szCs w:val="21"/>
                <w:color w:val="auto"/>
              </w:rPr>
            </w:pPr>
          </w:p>
        </w:tc>
      </w:tr>
      <w:tr>
        <w:trPr>
          <w:trHeight w:val="257"/>
        </w:trPr>
        <w:tc>
          <w:tcPr>
            <w:tcW w:w="4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80" w:type="dxa"/>
            <w:vAlign w:val="bottom"/>
            <w:gridSpan w:val="3"/>
          </w:tcPr>
          <w:p>
            <w:pPr>
              <w:jc w:val="right"/>
              <w:spacing w:after="0"/>
              <w:rPr>
                <w:sz w:val="20"/>
                <w:szCs w:val="20"/>
                <w:color w:val="auto"/>
              </w:rPr>
            </w:pPr>
            <w:r>
              <w:rPr>
                <w:rFonts w:ascii="Calibri" w:cs="Calibri" w:eastAsia="Calibri" w:hAnsi="Calibri"/>
                <w:sz w:val="20"/>
                <w:szCs w:val="20"/>
                <w:b w:val="1"/>
                <w:bCs w:val="1"/>
                <w:color w:val="auto"/>
              </w:rPr>
              <w:t>December 31,</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gridSpan w:val="3"/>
          </w:tcPr>
          <w:p>
            <w:pPr>
              <w:jc w:val="right"/>
              <w:spacing w:after="0"/>
              <w:rPr>
                <w:sz w:val="20"/>
                <w:szCs w:val="20"/>
                <w:color w:val="auto"/>
              </w:rPr>
            </w:pPr>
            <w:r>
              <w:rPr>
                <w:rFonts w:ascii="Calibri" w:cs="Calibri" w:eastAsia="Calibri" w:hAnsi="Calibri"/>
                <w:sz w:val="20"/>
                <w:szCs w:val="20"/>
                <w:b w:val="1"/>
                <w:bCs w:val="1"/>
                <w:color w:val="auto"/>
              </w:rPr>
              <w:t>December 31,</w:t>
            </w:r>
          </w:p>
        </w:tc>
        <w:tc>
          <w:tcPr>
            <w:tcW w:w="1020" w:type="dxa"/>
            <w:vAlign w:val="bottom"/>
          </w:tcPr>
          <w:p>
            <w:pPr>
              <w:spacing w:after="0"/>
              <w:rPr>
                <w:sz w:val="22"/>
                <w:szCs w:val="22"/>
                <w:color w:val="auto"/>
              </w:rPr>
            </w:pPr>
          </w:p>
        </w:tc>
      </w:tr>
      <w:tr>
        <w:trPr>
          <w:trHeight w:val="60"/>
        </w:trPr>
        <w:tc>
          <w:tcPr>
            <w:tcW w:w="43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4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81"/>
              <w:spacing w:after="0" w:line="230" w:lineRule="exact"/>
              <w:rPr>
                <w:sz w:val="20"/>
                <w:szCs w:val="20"/>
                <w:color w:val="auto"/>
              </w:rPr>
            </w:pPr>
            <w:r>
              <w:rPr>
                <w:rFonts w:ascii="Calibri" w:cs="Calibri" w:eastAsia="Calibri" w:hAnsi="Calibri"/>
                <w:sz w:val="20"/>
                <w:szCs w:val="20"/>
                <w:b w:val="1"/>
                <w:bCs w:val="1"/>
                <w:color w:val="auto"/>
              </w:rPr>
              <w:t>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481"/>
              <w:spacing w:after="0" w:line="230" w:lineRule="exact"/>
              <w:rPr>
                <w:sz w:val="20"/>
                <w:szCs w:val="20"/>
                <w:color w:val="auto"/>
              </w:rPr>
            </w:pPr>
            <w:r>
              <w:rPr>
                <w:rFonts w:ascii="Calibri" w:cs="Calibri" w:eastAsia="Calibri" w:hAnsi="Calibri"/>
                <w:sz w:val="20"/>
                <w:szCs w:val="20"/>
                <w:b w:val="1"/>
                <w:bCs w:val="1"/>
                <w:color w:val="auto"/>
                <w:w w:val="98"/>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01"/>
              <w:spacing w:after="0" w:line="230" w:lineRule="exact"/>
              <w:rPr>
                <w:sz w:val="20"/>
                <w:szCs w:val="20"/>
                <w:color w:val="auto"/>
              </w:rPr>
            </w:pPr>
            <w:r>
              <w:rPr>
                <w:rFonts w:ascii="Calibri" w:cs="Calibri" w:eastAsia="Calibri" w:hAnsi="Calibri"/>
                <w:sz w:val="20"/>
                <w:szCs w:val="20"/>
                <w:b w:val="1"/>
                <w:bCs w:val="1"/>
                <w:color w:val="auto"/>
              </w:rPr>
              <w:t>2024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481"/>
              <w:spacing w:after="0" w:line="230" w:lineRule="exact"/>
              <w:rPr>
                <w:sz w:val="20"/>
                <w:szCs w:val="20"/>
                <w:color w:val="auto"/>
              </w:rPr>
            </w:pPr>
            <w:r>
              <w:rPr>
                <w:rFonts w:ascii="Calibri" w:cs="Calibri" w:eastAsia="Calibri" w:hAnsi="Calibri"/>
                <w:sz w:val="20"/>
                <w:szCs w:val="20"/>
                <w:b w:val="1"/>
                <w:bCs w:val="1"/>
                <w:color w:val="auto"/>
              </w:rPr>
              <w:t>2023</w:t>
            </w:r>
          </w:p>
        </w:tc>
      </w:tr>
      <w:tr>
        <w:trPr>
          <w:trHeight w:val="60"/>
        </w:trPr>
        <w:tc>
          <w:tcPr>
            <w:tcW w:w="43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7"/>
        </w:trPr>
        <w:tc>
          <w:tcPr>
            <w:tcW w:w="4320" w:type="dxa"/>
            <w:vAlign w:val="bottom"/>
            <w:tcBorders>
              <w:bottom w:val="single" w:sz="8" w:color="CCEEFF"/>
            </w:tcBorders>
            <w:shd w:val="clear" w:color="auto" w:fill="CCEEFF"/>
          </w:tcPr>
          <w:p>
            <w:pPr>
              <w:ind w:left="20"/>
              <w:spacing w:after="0" w:line="217" w:lineRule="exact"/>
              <w:rPr>
                <w:sz w:val="20"/>
                <w:szCs w:val="20"/>
                <w:color w:val="auto"/>
              </w:rPr>
            </w:pPr>
            <w:r>
              <w:rPr>
                <w:rFonts w:ascii="Calibri" w:cs="Calibri" w:eastAsia="Calibri" w:hAnsi="Calibri"/>
                <w:sz w:val="20"/>
                <w:szCs w:val="20"/>
                <w:color w:val="auto"/>
              </w:rPr>
              <w:t>Operatng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7"/>
        </w:trPr>
        <w:tc>
          <w:tcPr>
            <w:tcW w:w="4320" w:type="dxa"/>
            <w:vAlign w:val="bottom"/>
          </w:tcPr>
          <w:p>
            <w:pPr>
              <w:ind w:left="240"/>
              <w:spacing w:after="0" w:line="236" w:lineRule="exact"/>
              <w:rPr>
                <w:sz w:val="20"/>
                <w:szCs w:val="20"/>
                <w:color w:val="auto"/>
              </w:rPr>
            </w:pPr>
            <w:r>
              <w:rPr>
                <w:rFonts w:ascii="Calibri" w:cs="Calibri" w:eastAsia="Calibri" w:hAnsi="Calibri"/>
                <w:sz w:val="20"/>
                <w:szCs w:val="20"/>
                <w:color w:val="auto"/>
              </w:rPr>
              <w:t>Research and development</w:t>
            </w:r>
          </w:p>
        </w:tc>
        <w:tc>
          <w:tcPr>
            <w:tcW w:w="340" w:type="dxa"/>
            <w:vAlign w:val="bottom"/>
          </w:tcPr>
          <w:p>
            <w:pPr>
              <w:jc w:val="right"/>
              <w:ind w:right="121"/>
              <w:spacing w:after="0" w:line="236" w:lineRule="exact"/>
              <w:rPr>
                <w:sz w:val="20"/>
                <w:szCs w:val="20"/>
                <w:color w:val="auto"/>
              </w:rPr>
            </w:pPr>
            <w:r>
              <w:rPr>
                <w:rFonts w:ascii="Calibri" w:cs="Calibri" w:eastAsia="Calibri" w:hAnsi="Calibri"/>
                <w:sz w:val="20"/>
                <w:szCs w:val="20"/>
                <w:color w:val="auto"/>
                <w:w w:val="98"/>
              </w:rPr>
              <w:t>$</w:t>
            </w:r>
          </w:p>
        </w:tc>
        <w:tc>
          <w:tcPr>
            <w:tcW w:w="1220" w:type="dxa"/>
            <w:vAlign w:val="bottom"/>
          </w:tcPr>
          <w:p>
            <w:pPr>
              <w:jc w:val="right"/>
              <w:spacing w:after="0" w:line="236" w:lineRule="exact"/>
              <w:rPr>
                <w:sz w:val="20"/>
                <w:szCs w:val="20"/>
                <w:color w:val="auto"/>
              </w:rPr>
            </w:pPr>
            <w:r>
              <w:rPr>
                <w:rFonts w:ascii="Calibri" w:cs="Calibri" w:eastAsia="Calibri" w:hAnsi="Calibri"/>
                <w:sz w:val="20"/>
                <w:szCs w:val="20"/>
                <w:color w:val="auto"/>
              </w:rPr>
              <w:t>20,545</w:t>
            </w:r>
          </w:p>
        </w:tc>
        <w:tc>
          <w:tcPr>
            <w:tcW w:w="100" w:type="dxa"/>
            <w:vAlign w:val="bottom"/>
          </w:tcPr>
          <w:p>
            <w:pPr>
              <w:spacing w:after="0"/>
              <w:rPr>
                <w:sz w:val="20"/>
                <w:szCs w:val="20"/>
                <w:color w:val="auto"/>
              </w:rPr>
            </w:pPr>
          </w:p>
        </w:tc>
        <w:tc>
          <w:tcPr>
            <w:tcW w:w="560" w:type="dxa"/>
            <w:vAlign w:val="bottom"/>
          </w:tcPr>
          <w:p>
            <w:pPr>
              <w:jc w:val="right"/>
              <w:ind w:right="341"/>
              <w:spacing w:after="0" w:line="236" w:lineRule="exact"/>
              <w:rPr>
                <w:sz w:val="20"/>
                <w:szCs w:val="20"/>
                <w:color w:val="auto"/>
              </w:rPr>
            </w:pPr>
            <w:r>
              <w:rPr>
                <w:rFonts w:ascii="Calibri" w:cs="Calibri" w:eastAsia="Calibri" w:hAnsi="Calibri"/>
                <w:sz w:val="20"/>
                <w:szCs w:val="20"/>
                <w:color w:val="auto"/>
                <w:w w:val="98"/>
              </w:rPr>
              <w:t>$</w:t>
            </w:r>
          </w:p>
        </w:tc>
        <w:tc>
          <w:tcPr>
            <w:tcW w:w="1000" w:type="dxa"/>
            <w:vAlign w:val="bottom"/>
          </w:tcPr>
          <w:p>
            <w:pPr>
              <w:jc w:val="right"/>
              <w:spacing w:after="0" w:line="236" w:lineRule="exact"/>
              <w:rPr>
                <w:sz w:val="20"/>
                <w:szCs w:val="20"/>
                <w:color w:val="auto"/>
              </w:rPr>
            </w:pPr>
            <w:r>
              <w:rPr>
                <w:rFonts w:ascii="Calibri" w:cs="Calibri" w:eastAsia="Calibri" w:hAnsi="Calibri"/>
                <w:sz w:val="20"/>
                <w:szCs w:val="20"/>
                <w:color w:val="auto"/>
              </w:rPr>
              <w:t>8,015</w:t>
            </w:r>
          </w:p>
        </w:tc>
        <w:tc>
          <w:tcPr>
            <w:tcW w:w="100" w:type="dxa"/>
            <w:vAlign w:val="bottom"/>
          </w:tcPr>
          <w:p>
            <w:pPr>
              <w:spacing w:after="0"/>
              <w:rPr>
                <w:sz w:val="20"/>
                <w:szCs w:val="20"/>
                <w:color w:val="auto"/>
              </w:rPr>
            </w:pPr>
          </w:p>
        </w:tc>
        <w:tc>
          <w:tcPr>
            <w:tcW w:w="340" w:type="dxa"/>
            <w:vAlign w:val="bottom"/>
          </w:tcPr>
          <w:p>
            <w:pPr>
              <w:jc w:val="right"/>
              <w:ind w:right="121"/>
              <w:spacing w:after="0" w:line="236" w:lineRule="exact"/>
              <w:rPr>
                <w:sz w:val="20"/>
                <w:szCs w:val="20"/>
                <w:color w:val="auto"/>
              </w:rPr>
            </w:pPr>
            <w:r>
              <w:rPr>
                <w:rFonts w:ascii="Calibri" w:cs="Calibri" w:eastAsia="Calibri" w:hAnsi="Calibri"/>
                <w:sz w:val="20"/>
                <w:szCs w:val="20"/>
                <w:color w:val="auto"/>
                <w:w w:val="98"/>
              </w:rPr>
              <w:t>$</w:t>
            </w:r>
          </w:p>
        </w:tc>
        <w:tc>
          <w:tcPr>
            <w:tcW w:w="1240" w:type="dxa"/>
            <w:vAlign w:val="bottom"/>
          </w:tcPr>
          <w:p>
            <w:pPr>
              <w:jc w:val="right"/>
              <w:ind w:right="1"/>
              <w:spacing w:after="0" w:line="236" w:lineRule="exact"/>
              <w:rPr>
                <w:sz w:val="20"/>
                <w:szCs w:val="20"/>
                <w:color w:val="auto"/>
              </w:rPr>
            </w:pPr>
            <w:r>
              <w:rPr>
                <w:rFonts w:ascii="Calibri" w:cs="Calibri" w:eastAsia="Calibri" w:hAnsi="Calibri"/>
                <w:sz w:val="20"/>
                <w:szCs w:val="20"/>
                <w:color w:val="auto"/>
              </w:rPr>
              <w:t>66,985</w:t>
            </w:r>
          </w:p>
        </w:tc>
        <w:tc>
          <w:tcPr>
            <w:tcW w:w="120" w:type="dxa"/>
            <w:vAlign w:val="bottom"/>
          </w:tcPr>
          <w:p>
            <w:pPr>
              <w:spacing w:after="0"/>
              <w:rPr>
                <w:sz w:val="20"/>
                <w:szCs w:val="20"/>
                <w:color w:val="auto"/>
              </w:rPr>
            </w:pPr>
          </w:p>
        </w:tc>
        <w:tc>
          <w:tcPr>
            <w:tcW w:w="540" w:type="dxa"/>
            <w:vAlign w:val="bottom"/>
          </w:tcPr>
          <w:p>
            <w:pPr>
              <w:jc w:val="right"/>
              <w:ind w:right="341"/>
              <w:spacing w:after="0" w:line="236" w:lineRule="exact"/>
              <w:rPr>
                <w:sz w:val="20"/>
                <w:szCs w:val="20"/>
                <w:color w:val="auto"/>
              </w:rPr>
            </w:pPr>
            <w:r>
              <w:rPr>
                <w:rFonts w:ascii="Calibri" w:cs="Calibri" w:eastAsia="Calibri" w:hAnsi="Calibri"/>
                <w:sz w:val="20"/>
                <w:szCs w:val="20"/>
                <w:color w:val="auto"/>
                <w:w w:val="78"/>
              </w:rPr>
              <w:t>$</w:t>
            </w:r>
          </w:p>
        </w:tc>
        <w:tc>
          <w:tcPr>
            <w:tcW w:w="1020" w:type="dxa"/>
            <w:vAlign w:val="bottom"/>
          </w:tcPr>
          <w:p>
            <w:pPr>
              <w:jc w:val="right"/>
              <w:spacing w:after="0" w:line="236" w:lineRule="exact"/>
              <w:rPr>
                <w:sz w:val="20"/>
                <w:szCs w:val="20"/>
                <w:color w:val="auto"/>
              </w:rPr>
            </w:pPr>
            <w:r>
              <w:rPr>
                <w:rFonts w:ascii="Calibri" w:cs="Calibri" w:eastAsia="Calibri" w:hAnsi="Calibri"/>
                <w:sz w:val="20"/>
                <w:szCs w:val="20"/>
                <w:color w:val="auto"/>
              </w:rPr>
              <w:t>32,368</w:t>
            </w:r>
          </w:p>
        </w:tc>
      </w:tr>
      <w:tr>
        <w:trPr>
          <w:trHeight w:val="60"/>
        </w:trPr>
        <w:tc>
          <w:tcPr>
            <w:tcW w:w="4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97"/>
        </w:trPr>
        <w:tc>
          <w:tcPr>
            <w:tcW w:w="4320" w:type="dxa"/>
            <w:vAlign w:val="bottom"/>
            <w:tcBorders>
              <w:bottom w:val="single" w:sz="8" w:color="CCEEFF"/>
            </w:tcBorders>
            <w:shd w:val="clear" w:color="auto" w:fill="CCEEFF"/>
          </w:tcPr>
          <w:p>
            <w:pPr>
              <w:ind w:left="240"/>
              <w:spacing w:after="0" w:line="236" w:lineRule="exact"/>
              <w:rPr>
                <w:sz w:val="20"/>
                <w:szCs w:val="20"/>
                <w:color w:val="auto"/>
              </w:rPr>
            </w:pPr>
            <w:r>
              <w:rPr>
                <w:rFonts w:ascii="Calibri" w:cs="Calibri" w:eastAsia="Calibri" w:hAnsi="Calibri"/>
                <w:sz w:val="20"/>
                <w:szCs w:val="20"/>
                <w:color w:val="auto"/>
              </w:rPr>
              <w:t>General and administratve</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5,261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6,875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
              <w:spacing w:after="0" w:line="236" w:lineRule="exact"/>
              <w:rPr>
                <w:sz w:val="20"/>
                <w:szCs w:val="20"/>
                <w:color w:val="auto"/>
              </w:rPr>
            </w:pPr>
            <w:r>
              <w:rPr>
                <w:rFonts w:ascii="Calibri" w:cs="Calibri" w:eastAsia="Calibri" w:hAnsi="Calibri"/>
                <w:sz w:val="20"/>
                <w:szCs w:val="20"/>
                <w:color w:val="auto"/>
              </w:rPr>
              <w:t>22,747</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13,041</w:t>
            </w:r>
          </w:p>
        </w:tc>
      </w:tr>
      <w:tr>
        <w:trPr>
          <w:trHeight w:val="231"/>
        </w:trPr>
        <w:tc>
          <w:tcPr>
            <w:tcW w:w="4320" w:type="dxa"/>
            <w:vAlign w:val="bottom"/>
          </w:tcPr>
          <w:p>
            <w:pPr>
              <w:ind w:left="440"/>
              <w:spacing w:after="0" w:line="230" w:lineRule="exact"/>
              <w:rPr>
                <w:sz w:val="20"/>
                <w:szCs w:val="20"/>
                <w:color w:val="auto"/>
              </w:rPr>
            </w:pPr>
            <w:r>
              <w:rPr>
                <w:rFonts w:ascii="Calibri" w:cs="Calibri" w:eastAsia="Calibri" w:hAnsi="Calibri"/>
                <w:sz w:val="20"/>
                <w:szCs w:val="20"/>
                <w:color w:val="auto"/>
              </w:rPr>
              <w:t>Total operatng expenses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25,806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14,890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
              <w:spacing w:after="0" w:line="230" w:lineRule="exact"/>
              <w:rPr>
                <w:sz w:val="20"/>
                <w:szCs w:val="20"/>
                <w:color w:val="auto"/>
              </w:rPr>
            </w:pPr>
            <w:r>
              <w:rPr>
                <w:rFonts w:ascii="Calibri" w:cs="Calibri" w:eastAsia="Calibri" w:hAnsi="Calibri"/>
                <w:sz w:val="20"/>
                <w:szCs w:val="20"/>
                <w:color w:val="auto"/>
              </w:rPr>
              <w:t>89,732</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line="230" w:lineRule="exact"/>
              <w:rPr>
                <w:sz w:val="20"/>
                <w:szCs w:val="20"/>
                <w:color w:val="auto"/>
              </w:rPr>
            </w:pPr>
            <w:r>
              <w:rPr>
                <w:rFonts w:ascii="Calibri" w:cs="Calibri" w:eastAsia="Calibri" w:hAnsi="Calibri"/>
                <w:sz w:val="20"/>
                <w:szCs w:val="20"/>
                <w:color w:val="auto"/>
              </w:rPr>
              <w:t>45,409</w:t>
            </w:r>
          </w:p>
        </w:tc>
      </w:tr>
      <w:tr>
        <w:trPr>
          <w:trHeight w:val="60"/>
        </w:trPr>
        <w:tc>
          <w:tcPr>
            <w:tcW w:w="43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70"/>
        </w:trPr>
        <w:tc>
          <w:tcPr>
            <w:tcW w:w="4320" w:type="dxa"/>
            <w:vAlign w:val="bottom"/>
            <w:tcBorders>
              <w:bottom w:val="single" w:sz="8" w:color="CCEEFF"/>
            </w:tcBorders>
            <w:shd w:val="clear" w:color="auto" w:fill="CCEEFF"/>
          </w:tcPr>
          <w:p>
            <w:pPr>
              <w:ind w:left="20"/>
              <w:spacing w:after="0" w:line="230" w:lineRule="exact"/>
              <w:rPr>
                <w:sz w:val="20"/>
                <w:szCs w:val="20"/>
                <w:color w:val="auto"/>
              </w:rPr>
            </w:pPr>
            <w:r>
              <w:rPr>
                <w:rFonts w:ascii="Calibri" w:cs="Calibri" w:eastAsia="Calibri" w:hAnsi="Calibri"/>
                <w:sz w:val="20"/>
                <w:szCs w:val="20"/>
                <w:color w:val="auto"/>
              </w:rPr>
              <w:t>Loss from operatons</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(25,806)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(14,890)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(89,732)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(45,409)</w:t>
            </w:r>
          </w:p>
        </w:tc>
      </w:tr>
      <w:tr>
        <w:trPr>
          <w:trHeight w:val="237"/>
        </w:trPr>
        <w:tc>
          <w:tcPr>
            <w:tcW w:w="4320" w:type="dxa"/>
            <w:vAlign w:val="bottom"/>
          </w:tcPr>
          <w:p>
            <w:pPr>
              <w:ind w:left="20"/>
              <w:spacing w:after="0" w:line="236" w:lineRule="exact"/>
              <w:rPr>
                <w:sz w:val="20"/>
                <w:szCs w:val="20"/>
                <w:color w:val="auto"/>
              </w:rPr>
            </w:pPr>
            <w:r>
              <w:rPr>
                <w:rFonts w:ascii="Calibri" w:cs="Calibri" w:eastAsia="Calibri" w:hAnsi="Calibri"/>
                <w:sz w:val="20"/>
                <w:szCs w:val="20"/>
                <w:color w:val="auto"/>
              </w:rPr>
              <w:t>Other income, net</w:t>
            </w:r>
          </w:p>
        </w:tc>
        <w:tc>
          <w:tcPr>
            <w:tcW w:w="340" w:type="dxa"/>
            <w:vAlign w:val="bottom"/>
          </w:tcPr>
          <w:p>
            <w:pPr>
              <w:spacing w:after="0"/>
              <w:rPr>
                <w:sz w:val="20"/>
                <w:szCs w:val="20"/>
                <w:color w:val="auto"/>
              </w:rPr>
            </w:pPr>
          </w:p>
        </w:tc>
        <w:tc>
          <w:tcPr>
            <w:tcW w:w="1220" w:type="dxa"/>
            <w:vAlign w:val="bottom"/>
          </w:tcPr>
          <w:p>
            <w:pPr>
              <w:jc w:val="right"/>
              <w:spacing w:after="0" w:line="236" w:lineRule="exact"/>
              <w:rPr>
                <w:sz w:val="20"/>
                <w:szCs w:val="20"/>
                <w:color w:val="auto"/>
              </w:rPr>
            </w:pPr>
            <w:r>
              <w:rPr>
                <w:rFonts w:ascii="Calibri" w:cs="Calibri" w:eastAsia="Calibri" w:hAnsi="Calibri"/>
                <w:sz w:val="20"/>
                <w:szCs w:val="20"/>
                <w:color w:val="auto"/>
              </w:rPr>
              <w:t>3,571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line="236" w:lineRule="exact"/>
              <w:rPr>
                <w:sz w:val="20"/>
                <w:szCs w:val="20"/>
                <w:color w:val="auto"/>
              </w:rPr>
            </w:pPr>
            <w:r>
              <w:rPr>
                <w:rFonts w:ascii="Calibri" w:cs="Calibri" w:eastAsia="Calibri" w:hAnsi="Calibri"/>
                <w:sz w:val="20"/>
                <w:szCs w:val="20"/>
                <w:color w:val="auto"/>
              </w:rPr>
              <w:t>1,988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
              <w:spacing w:after="0" w:line="236" w:lineRule="exact"/>
              <w:rPr>
                <w:sz w:val="20"/>
                <w:szCs w:val="20"/>
                <w:color w:val="auto"/>
              </w:rPr>
            </w:pPr>
            <w:r>
              <w:rPr>
                <w:rFonts w:ascii="Calibri" w:cs="Calibri" w:eastAsia="Calibri" w:hAnsi="Calibri"/>
                <w:sz w:val="20"/>
                <w:szCs w:val="20"/>
                <w:color w:val="auto"/>
              </w:rPr>
              <w:t>16,522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line="236" w:lineRule="exact"/>
              <w:rPr>
                <w:sz w:val="20"/>
                <w:szCs w:val="20"/>
                <w:color w:val="auto"/>
              </w:rPr>
            </w:pPr>
            <w:r>
              <w:rPr>
                <w:rFonts w:ascii="Calibri" w:cs="Calibri" w:eastAsia="Calibri" w:hAnsi="Calibri"/>
                <w:sz w:val="20"/>
                <w:szCs w:val="20"/>
                <w:color w:val="auto"/>
              </w:rPr>
              <w:t>3,285</w:t>
            </w:r>
          </w:p>
        </w:tc>
      </w:tr>
      <w:tr>
        <w:trPr>
          <w:trHeight w:val="60"/>
        </w:trPr>
        <w:tc>
          <w:tcPr>
            <w:tcW w:w="43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315"/>
        </w:trPr>
        <w:tc>
          <w:tcPr>
            <w:tcW w:w="432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20"/>
                <w:szCs w:val="20"/>
                <w:color w:val="auto"/>
              </w:rPr>
              <w:t>Net loss</w:t>
            </w:r>
          </w:p>
        </w:tc>
        <w:tc>
          <w:tcPr>
            <w:tcW w:w="34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w w:val="98"/>
              </w:rPr>
              <w:t>$</w:t>
            </w:r>
          </w:p>
        </w:tc>
        <w:tc>
          <w:tcPr>
            <w:tcW w:w="12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(22,235)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41"/>
              <w:spacing w:after="0" w:line="234" w:lineRule="exact"/>
              <w:rPr>
                <w:sz w:val="20"/>
                <w:szCs w:val="20"/>
                <w:color w:val="auto"/>
              </w:rPr>
            </w:pPr>
            <w:r>
              <w:rPr>
                <w:rFonts w:ascii="Calibri" w:cs="Calibri" w:eastAsia="Calibri" w:hAnsi="Calibri"/>
                <w:sz w:val="20"/>
                <w:szCs w:val="20"/>
                <w:color w:val="auto"/>
                <w:w w:val="98"/>
              </w:rPr>
              <w:t>$</w:t>
            </w:r>
          </w:p>
        </w:tc>
        <w:tc>
          <w:tcPr>
            <w:tcW w:w="100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(12,902)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21"/>
              <w:spacing w:after="0" w:line="234" w:lineRule="exact"/>
              <w:rPr>
                <w:sz w:val="20"/>
                <w:szCs w:val="20"/>
                <w:color w:val="auto"/>
              </w:rPr>
            </w:pPr>
            <w:r>
              <w:rPr>
                <w:rFonts w:ascii="Calibri" w:cs="Calibri" w:eastAsia="Calibri" w:hAnsi="Calibri"/>
                <w:sz w:val="20"/>
                <w:szCs w:val="20"/>
                <w:color w:val="auto"/>
                <w:w w:val="98"/>
              </w:rPr>
              <w:t>$</w:t>
            </w:r>
          </w:p>
        </w:tc>
        <w:tc>
          <w:tcPr>
            <w:tcW w:w="124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(73,210)</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41"/>
              <w:spacing w:after="0" w:line="234" w:lineRule="exact"/>
              <w:rPr>
                <w:sz w:val="20"/>
                <w:szCs w:val="20"/>
                <w:color w:val="auto"/>
              </w:rPr>
            </w:pPr>
            <w:r>
              <w:rPr>
                <w:rFonts w:ascii="Calibri" w:cs="Calibri" w:eastAsia="Calibri" w:hAnsi="Calibri"/>
                <w:sz w:val="20"/>
                <w:szCs w:val="20"/>
                <w:color w:val="auto"/>
                <w:w w:val="78"/>
              </w:rPr>
              <w:t>$</w:t>
            </w:r>
          </w:p>
        </w:tc>
        <w:tc>
          <w:tcPr>
            <w:tcW w:w="102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(42,124)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4320" w:type="dxa"/>
            <w:vAlign w:val="bottom"/>
          </w:tcPr>
          <w:p>
            <w:pPr>
              <w:ind w:left="20"/>
              <w:spacing w:after="0" w:line="211" w:lineRule="exact"/>
              <w:rPr>
                <w:sz w:val="20"/>
                <w:szCs w:val="20"/>
                <w:color w:val="auto"/>
              </w:rPr>
            </w:pPr>
            <w:r>
              <w:rPr>
                <w:rFonts w:ascii="Calibri" w:cs="Calibri" w:eastAsia="Calibri" w:hAnsi="Calibri"/>
                <w:sz w:val="20"/>
                <w:szCs w:val="20"/>
                <w:color w:val="auto"/>
              </w:rPr>
              <w:t>Net loss per share, basic and diluted</w:t>
            </w:r>
          </w:p>
        </w:tc>
        <w:tc>
          <w:tcPr>
            <w:tcW w:w="340" w:type="dxa"/>
            <w:vAlign w:val="bottom"/>
          </w:tcPr>
          <w:p>
            <w:pPr>
              <w:jc w:val="right"/>
              <w:ind w:right="121"/>
              <w:spacing w:after="0" w:line="211" w:lineRule="exact"/>
              <w:rPr>
                <w:sz w:val="20"/>
                <w:szCs w:val="20"/>
                <w:color w:val="auto"/>
              </w:rPr>
            </w:pPr>
            <w:r>
              <w:rPr>
                <w:rFonts w:ascii="Calibri" w:cs="Calibri" w:eastAsia="Calibri" w:hAnsi="Calibri"/>
                <w:sz w:val="20"/>
                <w:szCs w:val="20"/>
                <w:color w:val="auto"/>
                <w:w w:val="98"/>
              </w:rPr>
              <w:t>$</w:t>
            </w:r>
          </w:p>
        </w:tc>
        <w:tc>
          <w:tcPr>
            <w:tcW w:w="1220" w:type="dxa"/>
            <w:vAlign w:val="bottom"/>
          </w:tcPr>
          <w:p>
            <w:pPr>
              <w:jc w:val="right"/>
              <w:spacing w:after="0" w:line="211" w:lineRule="exact"/>
              <w:rPr>
                <w:sz w:val="20"/>
                <w:szCs w:val="20"/>
                <w:color w:val="auto"/>
              </w:rPr>
            </w:pPr>
            <w:r>
              <w:rPr>
                <w:rFonts w:ascii="Calibri" w:cs="Calibri" w:eastAsia="Calibri" w:hAnsi="Calibri"/>
                <w:sz w:val="20"/>
                <w:szCs w:val="20"/>
                <w:color w:val="auto"/>
              </w:rPr>
              <w:t>(0.86)</w:t>
            </w:r>
          </w:p>
        </w:tc>
        <w:tc>
          <w:tcPr>
            <w:tcW w:w="100" w:type="dxa"/>
            <w:vAlign w:val="bottom"/>
          </w:tcPr>
          <w:p>
            <w:pPr>
              <w:spacing w:after="0"/>
              <w:rPr>
                <w:sz w:val="18"/>
                <w:szCs w:val="18"/>
                <w:color w:val="auto"/>
              </w:rPr>
            </w:pPr>
          </w:p>
        </w:tc>
        <w:tc>
          <w:tcPr>
            <w:tcW w:w="560" w:type="dxa"/>
            <w:vAlign w:val="bottom"/>
          </w:tcPr>
          <w:p>
            <w:pPr>
              <w:jc w:val="right"/>
              <w:ind w:right="341"/>
              <w:spacing w:after="0" w:line="211" w:lineRule="exact"/>
              <w:rPr>
                <w:sz w:val="20"/>
                <w:szCs w:val="20"/>
                <w:color w:val="auto"/>
              </w:rPr>
            </w:pPr>
            <w:r>
              <w:rPr>
                <w:rFonts w:ascii="Calibri" w:cs="Calibri" w:eastAsia="Calibri" w:hAnsi="Calibri"/>
                <w:sz w:val="20"/>
                <w:szCs w:val="20"/>
                <w:color w:val="auto"/>
                <w:w w:val="98"/>
              </w:rPr>
              <w:t>$</w:t>
            </w:r>
          </w:p>
        </w:tc>
        <w:tc>
          <w:tcPr>
            <w:tcW w:w="1000" w:type="dxa"/>
            <w:vAlign w:val="bottom"/>
          </w:tcPr>
          <w:p>
            <w:pPr>
              <w:jc w:val="right"/>
              <w:spacing w:after="0" w:line="211" w:lineRule="exact"/>
              <w:rPr>
                <w:sz w:val="20"/>
                <w:szCs w:val="20"/>
                <w:color w:val="auto"/>
              </w:rPr>
            </w:pPr>
            <w:r>
              <w:rPr>
                <w:rFonts w:ascii="Calibri" w:cs="Calibri" w:eastAsia="Calibri" w:hAnsi="Calibri"/>
                <w:sz w:val="20"/>
                <w:szCs w:val="20"/>
                <w:color w:val="auto"/>
              </w:rPr>
              <w:t>(0.81)</w:t>
            </w:r>
          </w:p>
        </w:tc>
        <w:tc>
          <w:tcPr>
            <w:tcW w:w="100" w:type="dxa"/>
            <w:vAlign w:val="bottom"/>
          </w:tcPr>
          <w:p>
            <w:pPr>
              <w:spacing w:after="0"/>
              <w:rPr>
                <w:sz w:val="18"/>
                <w:szCs w:val="18"/>
                <w:color w:val="auto"/>
              </w:rPr>
            </w:pPr>
          </w:p>
        </w:tc>
        <w:tc>
          <w:tcPr>
            <w:tcW w:w="340" w:type="dxa"/>
            <w:vAlign w:val="bottom"/>
          </w:tcPr>
          <w:p>
            <w:pPr>
              <w:jc w:val="right"/>
              <w:ind w:right="121"/>
              <w:spacing w:after="0" w:line="211" w:lineRule="exact"/>
              <w:rPr>
                <w:sz w:val="20"/>
                <w:szCs w:val="20"/>
                <w:color w:val="auto"/>
              </w:rPr>
            </w:pPr>
            <w:r>
              <w:rPr>
                <w:rFonts w:ascii="Calibri" w:cs="Calibri" w:eastAsia="Calibri" w:hAnsi="Calibri"/>
                <w:sz w:val="20"/>
                <w:szCs w:val="20"/>
                <w:color w:val="auto"/>
                <w:w w:val="98"/>
              </w:rPr>
              <w:t>$</w:t>
            </w:r>
          </w:p>
        </w:tc>
        <w:tc>
          <w:tcPr>
            <w:tcW w:w="1240" w:type="dxa"/>
            <w:vAlign w:val="bottom"/>
          </w:tcPr>
          <w:p>
            <w:pPr>
              <w:jc w:val="right"/>
              <w:spacing w:after="0" w:line="211" w:lineRule="exact"/>
              <w:rPr>
                <w:sz w:val="20"/>
                <w:szCs w:val="20"/>
                <w:color w:val="auto"/>
              </w:rPr>
            </w:pPr>
            <w:r>
              <w:rPr>
                <w:rFonts w:ascii="Calibri" w:cs="Calibri" w:eastAsia="Calibri" w:hAnsi="Calibri"/>
                <w:sz w:val="20"/>
                <w:szCs w:val="20"/>
                <w:color w:val="auto"/>
              </w:rPr>
              <w:t>(2.89)</w:t>
            </w:r>
          </w:p>
        </w:tc>
        <w:tc>
          <w:tcPr>
            <w:tcW w:w="120" w:type="dxa"/>
            <w:vAlign w:val="bottom"/>
          </w:tcPr>
          <w:p>
            <w:pPr>
              <w:spacing w:after="0"/>
              <w:rPr>
                <w:sz w:val="18"/>
                <w:szCs w:val="18"/>
                <w:color w:val="auto"/>
              </w:rPr>
            </w:pPr>
          </w:p>
        </w:tc>
        <w:tc>
          <w:tcPr>
            <w:tcW w:w="540" w:type="dxa"/>
            <w:vAlign w:val="bottom"/>
          </w:tcPr>
          <w:p>
            <w:pPr>
              <w:jc w:val="right"/>
              <w:ind w:right="341"/>
              <w:spacing w:after="0" w:line="211" w:lineRule="exact"/>
              <w:rPr>
                <w:sz w:val="20"/>
                <w:szCs w:val="20"/>
                <w:color w:val="auto"/>
              </w:rPr>
            </w:pPr>
            <w:r>
              <w:rPr>
                <w:rFonts w:ascii="Calibri" w:cs="Calibri" w:eastAsia="Calibri" w:hAnsi="Calibri"/>
                <w:sz w:val="20"/>
                <w:szCs w:val="20"/>
                <w:color w:val="auto"/>
                <w:w w:val="78"/>
              </w:rPr>
              <w:t>$</w:t>
            </w:r>
          </w:p>
        </w:tc>
        <w:tc>
          <w:tcPr>
            <w:tcW w:w="1020" w:type="dxa"/>
            <w:vAlign w:val="bottom"/>
          </w:tcPr>
          <w:p>
            <w:pPr>
              <w:jc w:val="right"/>
              <w:spacing w:after="0" w:line="211" w:lineRule="exact"/>
              <w:rPr>
                <w:sz w:val="20"/>
                <w:szCs w:val="20"/>
                <w:color w:val="auto"/>
              </w:rPr>
            </w:pPr>
            <w:r>
              <w:rPr>
                <w:rFonts w:ascii="Calibri" w:cs="Calibri" w:eastAsia="Calibri" w:hAnsi="Calibri"/>
                <w:sz w:val="20"/>
                <w:szCs w:val="20"/>
                <w:color w:val="auto"/>
              </w:rPr>
              <w:t>(8.87)</w:t>
            </w:r>
          </w:p>
        </w:tc>
      </w:tr>
      <w:tr>
        <w:trPr>
          <w:trHeight w:val="60"/>
        </w:trPr>
        <w:tc>
          <w:tcPr>
            <w:tcW w:w="4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37"/>
        </w:trPr>
        <w:tc>
          <w:tcPr>
            <w:tcW w:w="4320" w:type="dxa"/>
            <w:vAlign w:val="bottom"/>
            <w:shd w:val="clear" w:color="auto" w:fill="CCEEFF"/>
          </w:tcPr>
          <w:p>
            <w:pPr>
              <w:ind w:left="20"/>
              <w:spacing w:after="0" w:line="236" w:lineRule="exact"/>
              <w:rPr>
                <w:sz w:val="20"/>
                <w:szCs w:val="20"/>
                <w:color w:val="auto"/>
              </w:rPr>
            </w:pPr>
            <w:r>
              <w:rPr>
                <w:rFonts w:ascii="Calibri" w:cs="Calibri" w:eastAsia="Calibri" w:hAnsi="Calibri"/>
                <w:sz w:val="20"/>
                <w:szCs w:val="20"/>
                <w:color w:val="auto"/>
              </w:rPr>
              <w:t>Weighted-average common shares outstanding,</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7"/>
        </w:trPr>
        <w:tc>
          <w:tcPr>
            <w:tcW w:w="4320" w:type="dxa"/>
            <w:vAlign w:val="bottom"/>
            <w:shd w:val="clear" w:color="auto" w:fill="CCEEFF"/>
          </w:tcPr>
          <w:p>
            <w:pPr>
              <w:ind w:left="20"/>
              <w:spacing w:after="0"/>
              <w:rPr>
                <w:sz w:val="20"/>
                <w:szCs w:val="20"/>
                <w:color w:val="auto"/>
              </w:rPr>
            </w:pPr>
            <w:r>
              <w:rPr>
                <w:rFonts w:ascii="Calibri" w:cs="Calibri" w:eastAsia="Calibri" w:hAnsi="Calibri"/>
                <w:sz w:val="20"/>
                <w:szCs w:val="20"/>
                <w:color w:val="auto"/>
              </w:rPr>
              <w:t>basic and diluted</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25,796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16,003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25,348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Calibri" w:cs="Calibri" w:eastAsia="Calibri" w:hAnsi="Calibri"/>
                <w:sz w:val="20"/>
                <w:szCs w:val="20"/>
                <w:color w:val="auto"/>
              </w:rPr>
              <w:t>4,747</w:t>
            </w:r>
          </w:p>
        </w:tc>
      </w:tr>
      <w:tr>
        <w:trPr>
          <w:trHeight w:val="60"/>
        </w:trPr>
        <w:tc>
          <w:tcPr>
            <w:tcW w:w="43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Calibri" w:cs="Calibri" w:eastAsia="Calibri" w:hAnsi="Calibri"/>
          <w:sz w:val="22"/>
          <w:szCs w:val="22"/>
          <w:b w:val="1"/>
          <w:bCs w:val="1"/>
          <w:color w:val="auto"/>
        </w:rPr>
        <w:t>Tourmaline Bio, Inc.</w:t>
      </w:r>
    </w:p>
    <w:p>
      <w:pPr>
        <w:jc w:val="center"/>
        <w:ind w:right="20"/>
        <w:spacing w:after="0" w:line="217" w:lineRule="auto"/>
        <w:rPr>
          <w:sz w:val="20"/>
          <w:szCs w:val="20"/>
          <w:color w:val="auto"/>
        </w:rPr>
      </w:pPr>
      <w:r>
        <w:rPr>
          <w:rFonts w:ascii="Calibri" w:cs="Calibri" w:eastAsia="Calibri" w:hAnsi="Calibri"/>
          <w:sz w:val="22"/>
          <w:szCs w:val="22"/>
          <w:b w:val="1"/>
          <w:bCs w:val="1"/>
          <w:color w:val="auto"/>
        </w:rPr>
        <w:t>Selected Consolidated Balance Sheet Data (unaudited)</w:t>
      </w:r>
    </w:p>
    <w:p>
      <w:pPr>
        <w:jc w:val="center"/>
        <w:ind w:right="20"/>
        <w:spacing w:after="0" w:line="217" w:lineRule="auto"/>
        <w:rPr>
          <w:sz w:val="20"/>
          <w:szCs w:val="20"/>
          <w:color w:val="auto"/>
        </w:rPr>
      </w:pPr>
      <w:r>
        <w:rPr>
          <w:rFonts w:ascii="Calibri" w:cs="Calibri" w:eastAsia="Calibri" w:hAnsi="Calibri"/>
          <w:sz w:val="22"/>
          <w:szCs w:val="22"/>
          <w:b w:val="1"/>
          <w:bCs w:val="1"/>
          <w:color w:val="auto"/>
        </w:rPr>
        <w:t>(amounts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580" w:type="dxa"/>
            <w:vAlign w:val="bottom"/>
            <w:gridSpan w:val="3"/>
          </w:tcPr>
          <w:p>
            <w:pPr>
              <w:jc w:val="right"/>
              <w:ind w:right="361"/>
              <w:spacing w:after="0"/>
              <w:rPr>
                <w:sz w:val="20"/>
                <w:szCs w:val="20"/>
                <w:color w:val="auto"/>
              </w:rPr>
            </w:pPr>
            <w:r>
              <w:rPr>
                <w:rFonts w:ascii="Calibri" w:cs="Calibri" w:eastAsia="Calibri" w:hAnsi="Calibri"/>
                <w:sz w:val="20"/>
                <w:szCs w:val="20"/>
                <w:b w:val="1"/>
                <w:bCs w:val="1"/>
                <w:color w:val="auto"/>
              </w:rPr>
              <w:t>December 31,</w:t>
            </w:r>
          </w:p>
        </w:tc>
        <w:tc>
          <w:tcPr>
            <w:tcW w:w="2280" w:type="dxa"/>
            <w:vAlign w:val="bottom"/>
          </w:tcPr>
          <w:p>
            <w:pPr>
              <w:spacing w:after="0"/>
              <w:rPr>
                <w:sz w:val="21"/>
                <w:szCs w:val="21"/>
                <w:color w:val="auto"/>
              </w:rPr>
            </w:pPr>
          </w:p>
        </w:tc>
      </w:tr>
      <w:tr>
        <w:trPr>
          <w:trHeight w:val="60"/>
        </w:trPr>
        <w:tc>
          <w:tcPr>
            <w:tcW w:w="43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r>
      <w:tr>
        <w:trPr>
          <w:trHeight w:val="230"/>
        </w:trPr>
        <w:tc>
          <w:tcPr>
            <w:tcW w:w="4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80" w:type="dxa"/>
            <w:vAlign w:val="bottom"/>
          </w:tcPr>
          <w:p>
            <w:pPr>
              <w:jc w:val="right"/>
              <w:ind w:right="1321"/>
              <w:spacing w:after="0" w:line="230" w:lineRule="exact"/>
              <w:rPr>
                <w:sz w:val="20"/>
                <w:szCs w:val="20"/>
                <w:color w:val="auto"/>
              </w:rPr>
            </w:pPr>
            <w:r>
              <w:rPr>
                <w:rFonts w:ascii="Calibri" w:cs="Calibri" w:eastAsia="Calibri" w:hAnsi="Calibri"/>
                <w:sz w:val="20"/>
                <w:szCs w:val="20"/>
                <w:b w:val="1"/>
                <w:bCs w:val="1"/>
                <w:color w:val="auto"/>
              </w:rPr>
              <w:t>2024</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80" w:type="dxa"/>
            <w:vAlign w:val="bottom"/>
          </w:tcPr>
          <w:p>
            <w:pPr>
              <w:jc w:val="right"/>
              <w:ind w:right="1341"/>
              <w:spacing w:after="0" w:line="230" w:lineRule="exact"/>
              <w:rPr>
                <w:sz w:val="20"/>
                <w:szCs w:val="20"/>
                <w:color w:val="auto"/>
              </w:rPr>
            </w:pPr>
            <w:r>
              <w:rPr>
                <w:rFonts w:ascii="Calibri" w:cs="Calibri" w:eastAsia="Calibri" w:hAnsi="Calibri"/>
                <w:sz w:val="20"/>
                <w:szCs w:val="20"/>
                <w:b w:val="1"/>
                <w:bCs w:val="1"/>
                <w:color w:val="auto"/>
              </w:rPr>
              <w:t>2023</w:t>
            </w:r>
          </w:p>
        </w:tc>
      </w:tr>
      <w:tr>
        <w:trPr>
          <w:trHeight w:val="60"/>
        </w:trPr>
        <w:tc>
          <w:tcPr>
            <w:tcW w:w="43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Calibri" w:cs="Calibri" w:eastAsia="Calibri" w:hAnsi="Calibri"/>
                <w:sz w:val="20"/>
                <w:szCs w:val="20"/>
                <w:color w:val="auto"/>
              </w:rPr>
              <w:t>Cash, cash equivalents and investments</w:t>
            </w:r>
          </w:p>
        </w:tc>
        <w:tc>
          <w:tcPr>
            <w:tcW w:w="760" w:type="dxa"/>
            <w:vAlign w:val="bottom"/>
            <w:shd w:val="clear" w:color="auto" w:fill="CCEEFF"/>
          </w:tcPr>
          <w:p>
            <w:pPr>
              <w:jc w:val="right"/>
              <w:ind w:right="541"/>
              <w:spacing w:after="0" w:line="230" w:lineRule="exact"/>
              <w:rPr>
                <w:sz w:val="20"/>
                <w:szCs w:val="20"/>
                <w:color w:val="auto"/>
              </w:rPr>
            </w:pPr>
            <w:r>
              <w:rPr>
                <w:rFonts w:ascii="Calibri" w:cs="Calibri" w:eastAsia="Calibri" w:hAnsi="Calibri"/>
                <w:sz w:val="20"/>
                <w:szCs w:val="20"/>
                <w:color w:val="auto"/>
                <w:w w:val="98"/>
              </w:rPr>
              <w:t>$</w:t>
            </w:r>
          </w:p>
        </w:tc>
        <w:tc>
          <w:tcPr>
            <w:tcW w:w="2480" w:type="dxa"/>
            <w:vAlign w:val="bottom"/>
            <w:shd w:val="clear" w:color="auto" w:fill="CCEEFF"/>
          </w:tcPr>
          <w:p>
            <w:pPr>
              <w:jc w:val="right"/>
              <w:spacing w:after="0" w:line="230" w:lineRule="exact"/>
              <w:rPr>
                <w:sz w:val="20"/>
                <w:szCs w:val="20"/>
                <w:color w:val="auto"/>
              </w:rPr>
            </w:pPr>
            <w:r>
              <w:rPr>
                <w:rFonts w:ascii="Calibri" w:cs="Calibri" w:eastAsia="Calibri" w:hAnsi="Calibri"/>
                <w:sz w:val="20"/>
                <w:szCs w:val="20"/>
                <w:color w:val="auto"/>
              </w:rPr>
              <w:t>294,936</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1"/>
              <w:spacing w:after="0" w:line="230" w:lineRule="exact"/>
              <w:rPr>
                <w:sz w:val="20"/>
                <w:szCs w:val="20"/>
                <w:color w:val="auto"/>
              </w:rPr>
            </w:pPr>
            <w:r>
              <w:rPr>
                <w:rFonts w:ascii="Calibri" w:cs="Calibri" w:eastAsia="Calibri" w:hAnsi="Calibri"/>
                <w:sz w:val="20"/>
                <w:szCs w:val="20"/>
                <w:color w:val="auto"/>
                <w:w w:val="78"/>
              </w:rPr>
              <w:t>$</w:t>
            </w:r>
          </w:p>
        </w:tc>
        <w:tc>
          <w:tcPr>
            <w:tcW w:w="2280" w:type="dxa"/>
            <w:vAlign w:val="bottom"/>
            <w:shd w:val="clear" w:color="auto" w:fill="CCEEFF"/>
          </w:tcPr>
          <w:p>
            <w:pPr>
              <w:jc w:val="right"/>
              <w:ind w:right="1"/>
              <w:spacing w:after="0" w:line="230" w:lineRule="exact"/>
              <w:rPr>
                <w:sz w:val="20"/>
                <w:szCs w:val="20"/>
                <w:color w:val="auto"/>
              </w:rPr>
            </w:pPr>
            <w:r>
              <w:rPr>
                <w:rFonts w:ascii="Calibri" w:cs="Calibri" w:eastAsia="Calibri" w:hAnsi="Calibri"/>
                <w:sz w:val="20"/>
                <w:szCs w:val="20"/>
                <w:color w:val="auto"/>
              </w:rPr>
              <w:t>202,951</w:t>
            </w:r>
          </w:p>
        </w:tc>
      </w:tr>
      <w:tr>
        <w:trPr>
          <w:trHeight w:val="60"/>
        </w:trPr>
        <w:tc>
          <w:tcPr>
            <w:tcW w:w="43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4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r>
      <w:tr>
        <w:trPr>
          <w:trHeight w:val="237"/>
        </w:trPr>
        <w:tc>
          <w:tcPr>
            <w:tcW w:w="4320" w:type="dxa"/>
            <w:vAlign w:val="bottom"/>
          </w:tcPr>
          <w:p>
            <w:pPr>
              <w:ind w:left="20"/>
              <w:spacing w:after="0" w:line="236" w:lineRule="exact"/>
              <w:rPr>
                <w:sz w:val="20"/>
                <w:szCs w:val="20"/>
                <w:color w:val="auto"/>
              </w:rPr>
            </w:pPr>
            <w:r>
              <w:rPr>
                <w:rFonts w:ascii="Calibri" w:cs="Calibri" w:eastAsia="Calibri" w:hAnsi="Calibri"/>
                <w:sz w:val="20"/>
                <w:szCs w:val="20"/>
                <w:color w:val="auto"/>
              </w:rPr>
              <w:t>Working capital</w:t>
            </w:r>
          </w:p>
        </w:tc>
        <w:tc>
          <w:tcPr>
            <w:tcW w:w="760" w:type="dxa"/>
            <w:vAlign w:val="bottom"/>
          </w:tcPr>
          <w:p>
            <w:pPr>
              <w:jc w:val="right"/>
              <w:ind w:right="541"/>
              <w:spacing w:after="0" w:line="236" w:lineRule="exact"/>
              <w:rPr>
                <w:sz w:val="20"/>
                <w:szCs w:val="20"/>
                <w:color w:val="auto"/>
              </w:rPr>
            </w:pPr>
            <w:r>
              <w:rPr>
                <w:rFonts w:ascii="Calibri" w:cs="Calibri" w:eastAsia="Calibri" w:hAnsi="Calibri"/>
                <w:sz w:val="20"/>
                <w:szCs w:val="20"/>
                <w:color w:val="auto"/>
                <w:w w:val="98"/>
              </w:rPr>
              <w:t>$</w:t>
            </w:r>
          </w:p>
        </w:tc>
        <w:tc>
          <w:tcPr>
            <w:tcW w:w="2480" w:type="dxa"/>
            <w:vAlign w:val="bottom"/>
          </w:tcPr>
          <w:p>
            <w:pPr>
              <w:jc w:val="right"/>
              <w:spacing w:after="0" w:line="236" w:lineRule="exact"/>
              <w:rPr>
                <w:sz w:val="20"/>
                <w:szCs w:val="20"/>
                <w:color w:val="auto"/>
              </w:rPr>
            </w:pPr>
            <w:r>
              <w:rPr>
                <w:rFonts w:ascii="Calibri" w:cs="Calibri" w:eastAsia="Calibri" w:hAnsi="Calibri"/>
                <w:sz w:val="20"/>
                <w:szCs w:val="20"/>
                <w:color w:val="auto"/>
              </w:rPr>
              <w:t>259,933</w:t>
            </w:r>
          </w:p>
        </w:tc>
        <w:tc>
          <w:tcPr>
            <w:tcW w:w="140" w:type="dxa"/>
            <w:vAlign w:val="bottom"/>
          </w:tcPr>
          <w:p>
            <w:pPr>
              <w:spacing w:after="0"/>
              <w:rPr>
                <w:sz w:val="20"/>
                <w:szCs w:val="20"/>
                <w:color w:val="auto"/>
              </w:rPr>
            </w:pPr>
          </w:p>
        </w:tc>
        <w:tc>
          <w:tcPr>
            <w:tcW w:w="960" w:type="dxa"/>
            <w:vAlign w:val="bottom"/>
          </w:tcPr>
          <w:p>
            <w:pPr>
              <w:jc w:val="right"/>
              <w:ind w:right="761"/>
              <w:spacing w:after="0" w:line="236" w:lineRule="exact"/>
              <w:rPr>
                <w:sz w:val="20"/>
                <w:szCs w:val="20"/>
                <w:color w:val="auto"/>
              </w:rPr>
            </w:pPr>
            <w:r>
              <w:rPr>
                <w:rFonts w:ascii="Calibri" w:cs="Calibri" w:eastAsia="Calibri" w:hAnsi="Calibri"/>
                <w:sz w:val="20"/>
                <w:szCs w:val="20"/>
                <w:color w:val="auto"/>
                <w:w w:val="78"/>
              </w:rPr>
              <w:t>$</w:t>
            </w:r>
          </w:p>
        </w:tc>
        <w:tc>
          <w:tcPr>
            <w:tcW w:w="2280" w:type="dxa"/>
            <w:vAlign w:val="bottom"/>
          </w:tcPr>
          <w:p>
            <w:pPr>
              <w:jc w:val="right"/>
              <w:ind w:right="1"/>
              <w:spacing w:after="0" w:line="236" w:lineRule="exact"/>
              <w:rPr>
                <w:sz w:val="20"/>
                <w:szCs w:val="20"/>
                <w:color w:val="auto"/>
              </w:rPr>
            </w:pPr>
            <w:r>
              <w:rPr>
                <w:rFonts w:ascii="Calibri" w:cs="Calibri" w:eastAsia="Calibri" w:hAnsi="Calibri"/>
                <w:sz w:val="20"/>
                <w:szCs w:val="20"/>
                <w:color w:val="auto"/>
              </w:rPr>
              <w:t>203,872</w:t>
            </w:r>
          </w:p>
        </w:tc>
      </w:tr>
      <w:tr>
        <w:trPr>
          <w:trHeight w:val="60"/>
        </w:trPr>
        <w:tc>
          <w:tcPr>
            <w:tcW w:w="4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80" w:type="dxa"/>
            <w:vAlign w:val="bottom"/>
          </w:tcPr>
          <w:p>
            <w:pPr>
              <w:spacing w:after="0"/>
              <w:rPr>
                <w:sz w:val="5"/>
                <w:szCs w:val="5"/>
                <w:color w:val="auto"/>
              </w:rPr>
            </w:pPr>
          </w:p>
        </w:tc>
      </w:tr>
      <w:tr>
        <w:trPr>
          <w:trHeight w:val="277"/>
        </w:trPr>
        <w:tc>
          <w:tcPr>
            <w:tcW w:w="4320" w:type="dxa"/>
            <w:vAlign w:val="bottom"/>
            <w:tcBorders>
              <w:bottom w:val="single" w:sz="8" w:color="CCEEFF"/>
            </w:tcBorders>
            <w:shd w:val="clear" w:color="auto" w:fill="CCEEFF"/>
          </w:tcPr>
          <w:p>
            <w:pPr>
              <w:ind w:left="20"/>
              <w:spacing w:after="0" w:line="236" w:lineRule="exact"/>
              <w:rPr>
                <w:sz w:val="20"/>
                <w:szCs w:val="20"/>
                <w:color w:val="auto"/>
              </w:rPr>
            </w:pPr>
            <w:r>
              <w:rPr>
                <w:rFonts w:ascii="Calibri" w:cs="Calibri" w:eastAsia="Calibri" w:hAnsi="Calibri"/>
                <w:sz w:val="20"/>
                <w:szCs w:val="20"/>
                <w:color w:val="auto"/>
              </w:rPr>
              <w:t>Total assets</w:t>
            </w:r>
          </w:p>
        </w:tc>
        <w:tc>
          <w:tcPr>
            <w:tcW w:w="760" w:type="dxa"/>
            <w:vAlign w:val="bottom"/>
            <w:tcBorders>
              <w:bottom w:val="single" w:sz="8" w:color="CCEEFF"/>
            </w:tcBorders>
            <w:shd w:val="clear" w:color="auto" w:fill="CCEEFF"/>
          </w:tcPr>
          <w:p>
            <w:pPr>
              <w:jc w:val="right"/>
              <w:ind w:right="541"/>
              <w:spacing w:after="0" w:line="236" w:lineRule="exact"/>
              <w:rPr>
                <w:sz w:val="20"/>
                <w:szCs w:val="20"/>
                <w:color w:val="auto"/>
              </w:rPr>
            </w:pPr>
            <w:r>
              <w:rPr>
                <w:rFonts w:ascii="Calibri" w:cs="Calibri" w:eastAsia="Calibri" w:hAnsi="Calibri"/>
                <w:sz w:val="20"/>
                <w:szCs w:val="20"/>
                <w:color w:val="auto"/>
                <w:w w:val="98"/>
              </w:rPr>
              <w:t>$</w:t>
            </w:r>
          </w:p>
        </w:tc>
        <w:tc>
          <w:tcPr>
            <w:tcW w:w="2480" w:type="dxa"/>
            <w:vAlign w:val="bottom"/>
            <w:tcBorders>
              <w:bottom w:val="single" w:sz="8" w:color="CCEEFF"/>
            </w:tcBorders>
            <w:shd w:val="clear" w:color="auto" w:fill="CCEEFF"/>
          </w:tcPr>
          <w:p>
            <w:pPr>
              <w:jc w:val="right"/>
              <w:spacing w:after="0" w:line="236" w:lineRule="exact"/>
              <w:rPr>
                <w:sz w:val="20"/>
                <w:szCs w:val="20"/>
                <w:color w:val="auto"/>
              </w:rPr>
            </w:pPr>
            <w:r>
              <w:rPr>
                <w:rFonts w:ascii="Calibri" w:cs="Calibri" w:eastAsia="Calibri" w:hAnsi="Calibri"/>
                <w:sz w:val="20"/>
                <w:szCs w:val="20"/>
                <w:color w:val="auto"/>
              </w:rPr>
              <w:t>309,001</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61"/>
              <w:spacing w:after="0" w:line="236" w:lineRule="exact"/>
              <w:rPr>
                <w:sz w:val="20"/>
                <w:szCs w:val="20"/>
                <w:color w:val="auto"/>
              </w:rPr>
            </w:pPr>
            <w:r>
              <w:rPr>
                <w:rFonts w:ascii="Calibri" w:cs="Calibri" w:eastAsia="Calibri" w:hAnsi="Calibri"/>
                <w:sz w:val="20"/>
                <w:szCs w:val="20"/>
                <w:color w:val="auto"/>
                <w:w w:val="78"/>
              </w:rPr>
              <w:t>$</w:t>
            </w:r>
          </w:p>
        </w:tc>
        <w:tc>
          <w:tcPr>
            <w:tcW w:w="2280" w:type="dxa"/>
            <w:vAlign w:val="bottom"/>
            <w:tcBorders>
              <w:bottom w:val="single" w:sz="8" w:color="CCEEFF"/>
            </w:tcBorders>
            <w:shd w:val="clear" w:color="auto" w:fill="CCEEFF"/>
          </w:tcPr>
          <w:p>
            <w:pPr>
              <w:jc w:val="right"/>
              <w:ind w:right="1"/>
              <w:spacing w:after="0" w:line="236" w:lineRule="exact"/>
              <w:rPr>
                <w:sz w:val="20"/>
                <w:szCs w:val="20"/>
                <w:color w:val="auto"/>
              </w:rPr>
            </w:pPr>
            <w:r>
              <w:rPr>
                <w:rFonts w:ascii="Calibri" w:cs="Calibri" w:eastAsia="Calibri" w:hAnsi="Calibri"/>
                <w:sz w:val="20"/>
                <w:szCs w:val="20"/>
                <w:color w:val="auto"/>
              </w:rPr>
              <w:t>210,295</w:t>
            </w:r>
          </w:p>
        </w:tc>
      </w:tr>
      <w:tr>
        <w:trPr>
          <w:trHeight w:val="237"/>
        </w:trPr>
        <w:tc>
          <w:tcPr>
            <w:tcW w:w="4320" w:type="dxa"/>
            <w:vAlign w:val="bottom"/>
          </w:tcPr>
          <w:p>
            <w:pPr>
              <w:ind w:left="20"/>
              <w:spacing w:after="0" w:line="236" w:lineRule="exact"/>
              <w:rPr>
                <w:sz w:val="20"/>
                <w:szCs w:val="20"/>
                <w:color w:val="auto"/>
              </w:rPr>
            </w:pPr>
            <w:r>
              <w:rPr>
                <w:rFonts w:ascii="Calibri" w:cs="Calibri" w:eastAsia="Calibri" w:hAnsi="Calibri"/>
                <w:sz w:val="20"/>
                <w:szCs w:val="20"/>
                <w:color w:val="auto"/>
              </w:rPr>
              <w:t>Total stockholders’ equity</w:t>
            </w:r>
          </w:p>
        </w:tc>
        <w:tc>
          <w:tcPr>
            <w:tcW w:w="760" w:type="dxa"/>
            <w:vAlign w:val="bottom"/>
          </w:tcPr>
          <w:p>
            <w:pPr>
              <w:jc w:val="right"/>
              <w:ind w:right="541"/>
              <w:spacing w:after="0" w:line="236" w:lineRule="exact"/>
              <w:rPr>
                <w:sz w:val="20"/>
                <w:szCs w:val="20"/>
                <w:color w:val="auto"/>
              </w:rPr>
            </w:pPr>
            <w:r>
              <w:rPr>
                <w:rFonts w:ascii="Calibri" w:cs="Calibri" w:eastAsia="Calibri" w:hAnsi="Calibri"/>
                <w:sz w:val="20"/>
                <w:szCs w:val="20"/>
                <w:color w:val="auto"/>
                <w:w w:val="98"/>
              </w:rPr>
              <w:t>$</w:t>
            </w:r>
          </w:p>
        </w:tc>
        <w:tc>
          <w:tcPr>
            <w:tcW w:w="2480" w:type="dxa"/>
            <w:vAlign w:val="bottom"/>
          </w:tcPr>
          <w:p>
            <w:pPr>
              <w:jc w:val="right"/>
              <w:spacing w:after="0" w:line="236" w:lineRule="exact"/>
              <w:rPr>
                <w:sz w:val="20"/>
                <w:szCs w:val="20"/>
                <w:color w:val="auto"/>
              </w:rPr>
            </w:pPr>
            <w:r>
              <w:rPr>
                <w:rFonts w:ascii="Calibri" w:cs="Calibri" w:eastAsia="Calibri" w:hAnsi="Calibri"/>
                <w:sz w:val="20"/>
                <w:szCs w:val="20"/>
                <w:color w:val="auto"/>
              </w:rPr>
              <w:t>300,052</w:t>
            </w:r>
          </w:p>
        </w:tc>
        <w:tc>
          <w:tcPr>
            <w:tcW w:w="140" w:type="dxa"/>
            <w:vAlign w:val="bottom"/>
          </w:tcPr>
          <w:p>
            <w:pPr>
              <w:spacing w:after="0"/>
              <w:rPr>
                <w:sz w:val="20"/>
                <w:szCs w:val="20"/>
                <w:color w:val="auto"/>
              </w:rPr>
            </w:pPr>
          </w:p>
        </w:tc>
        <w:tc>
          <w:tcPr>
            <w:tcW w:w="960" w:type="dxa"/>
            <w:vAlign w:val="bottom"/>
          </w:tcPr>
          <w:p>
            <w:pPr>
              <w:jc w:val="right"/>
              <w:ind w:right="761"/>
              <w:spacing w:after="0" w:line="236" w:lineRule="exact"/>
              <w:rPr>
                <w:sz w:val="20"/>
                <w:szCs w:val="20"/>
                <w:color w:val="auto"/>
              </w:rPr>
            </w:pPr>
            <w:r>
              <w:rPr>
                <w:rFonts w:ascii="Calibri" w:cs="Calibri" w:eastAsia="Calibri" w:hAnsi="Calibri"/>
                <w:sz w:val="20"/>
                <w:szCs w:val="20"/>
                <w:color w:val="auto"/>
                <w:w w:val="78"/>
              </w:rPr>
              <w:t>$</w:t>
            </w:r>
          </w:p>
        </w:tc>
        <w:tc>
          <w:tcPr>
            <w:tcW w:w="2280" w:type="dxa"/>
            <w:vAlign w:val="bottom"/>
          </w:tcPr>
          <w:p>
            <w:pPr>
              <w:jc w:val="right"/>
              <w:ind w:right="1"/>
              <w:spacing w:after="0" w:line="236" w:lineRule="exact"/>
              <w:rPr>
                <w:sz w:val="20"/>
                <w:szCs w:val="20"/>
                <w:color w:val="auto"/>
              </w:rPr>
            </w:pPr>
            <w:r>
              <w:rPr>
                <w:rFonts w:ascii="Calibri" w:cs="Calibri" w:eastAsia="Calibri" w:hAnsi="Calibri"/>
                <w:sz w:val="20"/>
                <w:szCs w:val="20"/>
                <w:color w:val="auto"/>
              </w:rPr>
              <w:t>205,042</w:t>
            </w:r>
          </w:p>
        </w:tc>
      </w:tr>
    </w:tbl>
    <w:p>
      <w:pPr>
        <w:sectPr>
          <w:pgSz w:w="11900" w:h="16838" w:orient="portrait"/>
          <w:cols w:equalWidth="0" w:num="1">
            <w:col w:w="10940"/>
          </w:cols>
          <w:pgMar w:left="480" w:top="1383" w:right="479" w:bottom="1440" w:gutter="0" w:footer="0" w:header="0"/>
        </w:sectPr>
      </w:pPr>
    </w:p>
    <w:bookmarkStart w:id="8" w:name="page9"/>
    <w:bookmarkEnd w:id="8"/>
    <w:p>
      <w:pPr>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t>Media Contact:</w:t>
      </w:r>
    </w:p>
    <w:p>
      <w:pPr>
        <w:spacing w:after="0" w:line="212" w:lineRule="auto"/>
        <w:rPr>
          <w:sz w:val="20"/>
          <w:szCs w:val="20"/>
          <w:color w:val="auto"/>
        </w:rPr>
      </w:pPr>
      <w:r>
        <w:rPr>
          <w:rFonts w:ascii="Calibri" w:cs="Calibri" w:eastAsia="Calibri" w:hAnsi="Calibri"/>
          <w:sz w:val="20"/>
          <w:szCs w:val="20"/>
          <w:color w:val="auto"/>
        </w:rPr>
        <w:t>Scient PR</w:t>
      </w:r>
    </w:p>
    <w:p>
      <w:pPr>
        <w:spacing w:after="0" w:line="225" w:lineRule="auto"/>
        <w:rPr>
          <w:sz w:val="20"/>
          <w:szCs w:val="20"/>
          <w:color w:val="auto"/>
        </w:rPr>
      </w:pPr>
      <w:r>
        <w:rPr>
          <w:rFonts w:ascii="Calibri" w:cs="Calibri" w:eastAsia="Calibri" w:hAnsi="Calibri"/>
          <w:sz w:val="20"/>
          <w:szCs w:val="20"/>
          <w:color w:val="auto"/>
        </w:rPr>
        <w:t>Sarah Mishek</w:t>
      </w:r>
    </w:p>
    <w:p>
      <w:pPr>
        <w:spacing w:after="0" w:line="213" w:lineRule="auto"/>
        <w:rPr>
          <w:sz w:val="20"/>
          <w:szCs w:val="20"/>
          <w:color w:val="auto"/>
        </w:rPr>
      </w:pPr>
      <w:r>
        <w:rPr>
          <w:rFonts w:ascii="Calibri" w:cs="Calibri" w:eastAsia="Calibri" w:hAnsi="Calibri"/>
          <w:sz w:val="20"/>
          <w:szCs w:val="20"/>
          <w:u w:val="single" w:color="auto"/>
          <w:color w:val="0000FF"/>
        </w:rPr>
        <w:t>SMishek@ScientPR.com</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w:t>
      </w:r>
    </w:p>
    <w:p>
      <w:pPr>
        <w:spacing w:after="0" w:line="212" w:lineRule="auto"/>
        <w:rPr>
          <w:sz w:val="20"/>
          <w:szCs w:val="20"/>
          <w:color w:val="auto"/>
        </w:rPr>
      </w:pPr>
      <w:r>
        <w:rPr>
          <w:rFonts w:ascii="Calibri" w:cs="Calibri" w:eastAsia="Calibri" w:hAnsi="Calibri"/>
          <w:sz w:val="20"/>
          <w:szCs w:val="20"/>
          <w:color w:val="auto"/>
        </w:rPr>
        <w:t>Meru Advisors</w:t>
      </w:r>
    </w:p>
    <w:p>
      <w:pPr>
        <w:spacing w:after="0" w:line="225" w:lineRule="auto"/>
        <w:rPr>
          <w:sz w:val="20"/>
          <w:szCs w:val="20"/>
          <w:color w:val="auto"/>
        </w:rPr>
      </w:pPr>
      <w:r>
        <w:rPr>
          <w:rFonts w:ascii="Calibri" w:cs="Calibri" w:eastAsia="Calibri" w:hAnsi="Calibri"/>
          <w:sz w:val="20"/>
          <w:szCs w:val="20"/>
          <w:color w:val="auto"/>
        </w:rPr>
        <w:t>Lee M. Stern</w:t>
      </w:r>
    </w:p>
    <w:p>
      <w:pPr>
        <w:spacing w:after="0" w:line="213" w:lineRule="auto"/>
        <w:rPr>
          <w:sz w:val="20"/>
          <w:szCs w:val="20"/>
          <w:color w:val="auto"/>
        </w:rPr>
      </w:pPr>
      <w:r>
        <w:rPr>
          <w:rFonts w:ascii="Calibri" w:cs="Calibri" w:eastAsia="Calibri" w:hAnsi="Calibri"/>
          <w:sz w:val="20"/>
          <w:szCs w:val="20"/>
          <w:u w:val="single" w:color="auto"/>
          <w:color w:val="0000FF"/>
        </w:rPr>
        <w:t>lstern@meruadvisors.com</w:t>
      </w:r>
    </w:p>
    <w:sectPr>
      <w:pgSz w:w="11900" w:h="16838" w:orient="portrait"/>
      <w:cols w:equalWidth="0" w:num="1">
        <w:col w:w="10139"/>
      </w:cols>
      <w:pgMar w:left="320" w:top="13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endash "/>
      <w:numFmt w:val="bullet"/>
      <w:start w:val="1"/>
    </w:lvl>
    <w:lvl w:ilvl="1">
      <w:lvlJc w:val="left"/>
      <w:lvlText w:val="\endash "/>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2025-03-13T07:07:17Z</dcterms:created>
  <dcterms:modified xsi:type="dcterms:W3CDTF">2025-03-13T07:07:17Z</dcterms:modified>
</cp:coreProperties>
</file>