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October 28, 2025</w:t>
      </w:r>
    </w:p>
    <w:p>
      <w:pPr>
        <w:spacing w:after="0" w:line="2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333-255316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Post-Effective Amendment No. 2</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Tourmaline Bio,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30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6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83-2377352</w:t>
            </w:r>
          </w:p>
        </w:tc>
      </w:tr>
      <w:tr>
        <w:trPr>
          <w:trHeight w:val="216"/>
        </w:trPr>
        <w:tc>
          <w:tcPr>
            <w:tcW w:w="3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6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68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 West 24th Street, Suite 702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481-9832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Jaime Huertas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 West 24th Street, Suite 702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481-9832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E. Gilligan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Mahvesh A. Qureshi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Gabrielle M. Witt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Jessica A. Bisignano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Hogan Lovells US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Thirteenth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20004-1109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(202) 637-5600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 Removal from registration of securities that were not sold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above referenced registration statements.</w:t>
      </w:r>
    </w:p>
    <w:p>
      <w:pPr>
        <w:spacing w:after="0" w:line="159"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ectPr>
          <w:pgSz w:w="11900" w:h="16838" w:orient="portrait"/>
          <w:cols w:equalWidth="0" w:num="1">
            <w:col w:w="11240"/>
          </w:cols>
          <w:pgMar w:left="320" w:top="216"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4360" w:space="720"/>
            <w:col w:w="6160"/>
          </w:cols>
          <w:pgMar w:left="320" w:top="216" w:right="339" w:bottom="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ectPr>
          <w:pgSz w:w="11900" w:h="16838" w:orient="portrait"/>
          <w:cols w:equalWidth="0" w:num="2">
            <w:col w:w="4360" w:space="720"/>
            <w:col w:w="6160"/>
          </w:cols>
          <w:pgMar w:left="320" w:top="216" w:right="339" w:bottom="0" w:gutter="0" w:footer="0" w:header="0"/>
          <w:type w:val="continuous"/>
        </w:sectPr>
      </w:pPr>
    </w:p>
    <w:bookmarkStart w:id="1" w:name="page2"/>
    <w:bookmarkEnd w:id="1"/>
    <w:p>
      <w:pPr>
        <w:ind w:left="5080"/>
        <w:spacing w:after="0" w:line="207" w:lineRule="exact"/>
        <w:rPr>
          <w:sz w:val="20"/>
          <w:szCs w:val="20"/>
          <w:color w:val="auto"/>
        </w:rPr>
      </w:pPr>
      <w:r>
        <w:rPr>
          <w:rFonts w:ascii="Times New Roman" w:cs="Times New Roman" w:eastAsia="Times New Roman" w:hAnsi="Times New Roman"/>
          <w:sz w:val="18"/>
          <w:szCs w:val="18"/>
          <w:color w:val="auto"/>
        </w:rPr>
        <w:t>Emerging growth company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This Post-Effective Amendment (this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relates to Registration Statement No. 333-255361 on Form S-1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Tourmaline Bio, Inc., a Delaware corporation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on</w:t>
      </w:r>
      <w:r>
        <w:rPr>
          <w:rFonts w:ascii="Times New Roman" w:cs="Times New Roman" w:eastAsia="Times New Roman" w:hAnsi="Times New Roman"/>
          <w:sz w:val="18"/>
          <w:szCs w:val="18"/>
          <w:b w:val="1"/>
          <w:bCs w:val="1"/>
          <w:color w:val="auto"/>
        </w:rPr>
        <w:t xml:space="preserve"> </w:t>
      </w:r>
      <w:hyperlink r:id="rId18">
        <w:r>
          <w:rPr>
            <w:rFonts w:ascii="Times New Roman" w:cs="Times New Roman" w:eastAsia="Times New Roman" w:hAnsi="Times New Roman"/>
            <w:sz w:val="18"/>
            <w:szCs w:val="18"/>
            <w:u w:val="single" w:color="auto"/>
            <w:color w:val="0000EE"/>
          </w:rPr>
          <w:t>April 16,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May 3, 2021</w:t>
        </w:r>
      </w:hyperlink>
      <w:r>
        <w:rPr>
          <w:rFonts w:ascii="Times New Roman" w:cs="Times New Roman" w:eastAsia="Times New Roman" w:hAnsi="Times New Roman"/>
          <w:sz w:val="18"/>
          <w:szCs w:val="18"/>
          <w:color w:val="000000"/>
        </w:rPr>
        <w: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is filing this Post-Effective Amendment to the Registration Statement to deregister all securities that remain unsold under the Registration Statement.</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October 28, 2025, pursuant to the terms of an Agreement and Plan of Merger, dated as of September 8, 2025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Registrant, Novartis AG,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Switzerland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Torino Merger Sub Inc., a Delaware corporation and an indirect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Merger Sub merged with and into the Registrant, with the Registrant surviving the merger as a wholly owned subsidiary of Parent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and sales of its securities pursuant to the Registration Statement. In accordance with undertakings made by the Registrant in the Registration Statement to remove from registration, by means of a post-effective amendment, any of the securities registered under the Registration Statement that remain unissued at the termination of the offerings, the Registrant hereby files this Post-Effective Amendment to deregister all securities registered but unsold or otherwise unissued under the Registration Statement, if any, as of the date hereof.</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the Registrant’s Current Report on Form 8-K filed with the SEC on 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the requirements for filing on Form S-1 and has duly caused this Post-Effective Amendment to be signed on its behalf by the undersigned, thereunto duly authorized, in the City of East Hanover, State of New Jersey on October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Tourmaline Bio,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Jaime Huertas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Huertas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8" Type="http://schemas.openxmlformats.org/officeDocument/2006/relationships/hyperlink" Target="https://www.sec.gov/Archives/edgar/data/1827506/000119312521119531/d51356ds1.htm" TargetMode="External"/><Relationship Id="rId19" Type="http://schemas.openxmlformats.org/officeDocument/2006/relationships/hyperlink" Target="https://www.sec.gov/Archives/edgar/data/1827506/000119312521146474/d51356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2025-10-28T10:04:57Z</dcterms:created>
  <dcterms:modified xsi:type="dcterms:W3CDTF">2025-10-28T10:04:57Z</dcterms:modified>
</cp:coreProperties>
</file>