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2024</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ectPr>
          <w:pgSz w:w="11900" w:h="16838" w:orient="portrait"/>
          <w:cols w:equalWidth="0" w:num="1">
            <w:col w:w="11240"/>
          </w:cols>
          <w:pgMar w:left="320" w:top="12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31" w:lineRule="exact"/>
        <w:rPr>
          <w:sz w:val="24"/>
          <w:szCs w:val="24"/>
          <w:color w:val="auto"/>
        </w:rPr>
      </w:pPr>
    </w:p>
    <w:p>
      <w:pPr>
        <w:jc w:val="both"/>
        <w:ind w:left="840" w:firstLine="45"/>
        <w:spacing w:after="0" w:line="275" w:lineRule="auto"/>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93" w:lineRule="exact"/>
        <w:rPr>
          <w:sz w:val="24"/>
          <w:szCs w:val="24"/>
          <w:color w:val="auto"/>
        </w:rPr>
      </w:pPr>
    </w:p>
    <w:tbl>
      <w:tblPr>
        <w:tblLayout w:type="fixed"/>
        <w:tblInd w:w="1520" w:type="dxa"/>
        <w:tblCellMar>
          <w:top w:w="0" w:type="dxa"/>
          <w:left w:w="0" w:type="dxa"/>
          <w:bottom w:w="0" w:type="dxa"/>
          <w:right w:w="0" w:type="dxa"/>
        </w:tblCellMar>
      </w:tblPr>
      <w:tr>
        <w:trPr>
          <w:trHeight w:val="240"/>
        </w:trPr>
        <w:tc>
          <w:tcPr>
            <w:tcW w:w="2240" w:type="dxa"/>
            <w:vAlign w:val="bottom"/>
          </w:tcPr>
          <w:p>
            <w:pPr>
              <w:jc w:val="center"/>
              <w:ind w:right="1213"/>
              <w:spacing w:after="0"/>
              <w:rPr>
                <w:sz w:val="20"/>
                <w:szCs w:val="20"/>
                <w:color w:val="auto"/>
              </w:rPr>
            </w:pPr>
            <w:r>
              <w:rPr>
                <w:rFonts w:ascii="Times New Roman" w:cs="Times New Roman" w:eastAsia="Times New Roman" w:hAnsi="Times New Roman"/>
                <w:sz w:val="20"/>
                <w:szCs w:val="20"/>
                <w:b w:val="1"/>
                <w:bCs w:val="1"/>
                <w:color w:val="auto"/>
                <w:w w:val="99"/>
              </w:rPr>
              <w:t>001-40384</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20"/>
                <w:szCs w:val="20"/>
                <w:b w:val="1"/>
                <w:bCs w:val="1"/>
                <w:color w:val="auto"/>
                <w:w w:val="99"/>
              </w:rPr>
              <w:t>83-2377352</w:t>
            </w:r>
          </w:p>
        </w:tc>
      </w:tr>
      <w:tr>
        <w:trPr>
          <w:trHeight w:val="203"/>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39"/>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33" w:lineRule="exact"/>
        <w:rPr>
          <w:sz w:val="24"/>
          <w:szCs w:val="24"/>
          <w:color w:val="auto"/>
        </w:rPr>
      </w:pPr>
    </w:p>
    <w:p>
      <w:pPr>
        <w:sectPr>
          <w:pgSz w:w="11900" w:h="16838" w:orient="portrait"/>
          <w:cols w:equalWidth="0" w:num="2">
            <w:col w:w="2940" w:space="700"/>
            <w:col w:w="7600"/>
          </w:cols>
          <w:pgMar w:left="320" w:top="12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0"/>
          <w:szCs w:val="20"/>
          <w:b w:val="1"/>
          <w:bCs w:val="1"/>
          <w:color w:val="auto"/>
        </w:rPr>
        <w:t>27 West 24th Street, Suite 702</w:t>
      </w:r>
    </w:p>
    <w:p>
      <w:pPr>
        <w:spacing w:after="0" w:line="32" w:lineRule="exact"/>
        <w:rPr>
          <w:sz w:val="24"/>
          <w:szCs w:val="24"/>
          <w:color w:val="auto"/>
        </w:rPr>
      </w:pPr>
    </w:p>
    <w:p>
      <w:pPr>
        <w:ind w:left="2060"/>
        <w:spacing w:after="0"/>
        <w:tabs>
          <w:tab w:leader="none" w:pos="8320" w:val="left"/>
        </w:tabs>
        <w:rPr>
          <w:sz w:val="20"/>
          <w:szCs w:val="20"/>
          <w:color w:val="auto"/>
        </w:rPr>
      </w:pPr>
      <w:r>
        <w:rPr>
          <w:rFonts w:ascii="Times New Roman" w:cs="Times New Roman" w:eastAsia="Times New Roman" w:hAnsi="Times New Roman"/>
          <w:sz w:val="20"/>
          <w:szCs w:val="20"/>
          <w:b w:val="1"/>
          <w:bCs w:val="1"/>
          <w:color w:val="auto"/>
        </w:rPr>
        <w:t>New York, NY</w:t>
      </w:r>
      <w:r>
        <w:rPr>
          <w:sz w:val="20"/>
          <w:szCs w:val="20"/>
          <w:color w:val="auto"/>
        </w:rPr>
        <w:tab/>
      </w:r>
      <w:r>
        <w:rPr>
          <w:rFonts w:ascii="Times New Roman" w:cs="Times New Roman" w:eastAsia="Times New Roman" w:hAnsi="Times New Roman"/>
          <w:sz w:val="19"/>
          <w:szCs w:val="19"/>
          <w:b w:val="1"/>
          <w:bCs w:val="1"/>
          <w:color w:val="auto"/>
        </w:rPr>
        <w:t>10010</w:t>
      </w:r>
    </w:p>
    <w:p>
      <w:pPr>
        <w:spacing w:after="0" w:line="11" w:lineRule="exact"/>
        <w:rPr>
          <w:sz w:val="24"/>
          <w:szCs w:val="24"/>
          <w:color w:val="auto"/>
        </w:rPr>
      </w:pPr>
    </w:p>
    <w:p>
      <w:pPr>
        <w:ind w:left="1320"/>
        <w:spacing w:after="0"/>
        <w:tabs>
          <w:tab w:leader="none" w:pos="8180" w:val="left"/>
        </w:tabs>
        <w:rPr>
          <w:sz w:val="20"/>
          <w:szCs w:val="20"/>
          <w:color w:val="auto"/>
        </w:rPr>
      </w:pPr>
      <w:r>
        <w:rPr>
          <w:rFonts w:ascii="Times New Roman" w:cs="Times New Roman" w:eastAsia="Times New Roman" w:hAnsi="Times New Roman"/>
          <w:sz w:val="16"/>
          <w:szCs w:val="16"/>
          <w:b w:val="1"/>
          <w:bCs w:val="1"/>
          <w:color w:val="auto"/>
        </w:rPr>
        <w:t>(Address of principal executive offices)</w:t>
      </w:r>
      <w:r>
        <w:rPr>
          <w:sz w:val="20"/>
          <w:szCs w:val="20"/>
          <w:color w:val="auto"/>
        </w:rPr>
        <w:tab/>
      </w:r>
      <w:r>
        <w:rPr>
          <w:rFonts w:ascii="Times New Roman" w:cs="Times New Roman" w:eastAsia="Times New Roman" w:hAnsi="Times New Roman"/>
          <w:sz w:val="16"/>
          <w:szCs w:val="16"/>
          <w:b w:val="1"/>
          <w:bCs w:val="1"/>
          <w:color w:val="auto"/>
        </w:rPr>
        <w:t>(Zip Code)</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(646) 481-9832</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3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10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43"/>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TRML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8, 2024, Tourmaline Bio, Inc. (the “Company”) issued a press release announcing its recent business highlights and financial results for the quarter ended June 30, 2024. A copy of the press release is furnished hereto as Exhibit 99.1 and is incorporated herein by reference.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that section. The information contained in this Item 2.02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No.</w:t>
            </w: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6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August 8, 2024</w:t>
            </w:r>
          </w:p>
        </w:tc>
      </w:tr>
      <w:tr>
        <w:trPr>
          <w:trHeight w:val="20"/>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304"/>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120"/>
              <w:spacing w:after="0"/>
              <w:rPr>
                <w:sz w:val="20"/>
                <w:szCs w:val="20"/>
                <w:color w:val="auto"/>
              </w:rPr>
            </w:pPr>
            <w:r>
              <w:rPr>
                <w:rFonts w:ascii="Times New Roman" w:cs="Times New Roman" w:eastAsia="Times New Roman" w:hAnsi="Times New Roman"/>
                <w:sz w:val="20"/>
                <w:szCs w:val="20"/>
                <w:b w:val="1"/>
                <w:bCs w:val="1"/>
                <w:color w:val="auto"/>
              </w:rPr>
              <w:t>TOURMALINE BIO, INC.</w:t>
            </w:r>
          </w:p>
        </w:tc>
        <w:tc>
          <w:tcPr>
            <w:tcW w:w="0" w:type="dxa"/>
            <w:vAlign w:val="bottom"/>
          </w:tcPr>
          <w:p>
            <w:pPr>
              <w:spacing w:after="0"/>
              <w:rPr>
                <w:sz w:val="1"/>
                <w:szCs w:val="1"/>
                <w:color w:val="auto"/>
              </w:rPr>
            </w:pPr>
          </w:p>
        </w:tc>
      </w:tr>
      <w:tr>
        <w:trPr>
          <w:trHeight w:val="5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Ryan Robinson</w:t>
            </w:r>
          </w:p>
        </w:tc>
        <w:tc>
          <w:tcPr>
            <w:tcW w:w="0" w:type="dxa"/>
            <w:vAlign w:val="bottom"/>
          </w:tcPr>
          <w:p>
            <w:pPr>
              <w:spacing w:after="0"/>
              <w:rPr>
                <w:sz w:val="1"/>
                <w:szCs w:val="1"/>
                <w:color w:val="auto"/>
              </w:rPr>
            </w:pPr>
          </w:p>
        </w:tc>
      </w:tr>
      <w:tr>
        <w:trPr>
          <w:trHeight w:val="40"/>
        </w:trPr>
        <w:tc>
          <w:tcPr>
            <w:tcW w:w="3640" w:type="dxa"/>
            <w:vAlign w:val="bottom"/>
          </w:tcPr>
          <w:p>
            <w:pPr>
              <w:spacing w:after="0"/>
              <w:rPr>
                <w:sz w:val="3"/>
                <w:szCs w:val="3"/>
                <w:color w:val="auto"/>
              </w:rPr>
            </w:pPr>
          </w:p>
        </w:tc>
        <w:tc>
          <w:tcPr>
            <w:tcW w:w="28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Ryan Robinson</w:t>
            </w:r>
          </w:p>
        </w:tc>
        <w:tc>
          <w:tcPr>
            <w:tcW w:w="0" w:type="dxa"/>
            <w:vAlign w:val="bottom"/>
          </w:tcPr>
          <w:p>
            <w:pPr>
              <w:spacing w:after="0"/>
              <w:rPr>
                <w:sz w:val="1"/>
                <w:szCs w:val="1"/>
                <w:color w:val="auto"/>
              </w:rPr>
            </w:pPr>
          </w:p>
        </w:tc>
      </w:tr>
      <w:tr>
        <w:trPr>
          <w:trHeight w:val="283"/>
        </w:trPr>
        <w:tc>
          <w:tcPr>
            <w:tcW w:w="3640" w:type="dxa"/>
            <w:vAlign w:val="bottom"/>
          </w:tcPr>
          <w:p>
            <w:pPr>
              <w:spacing w:after="0"/>
              <w:rPr>
                <w:sz w:val="24"/>
                <w:szCs w:val="24"/>
                <w:color w:val="auto"/>
              </w:rPr>
            </w:pP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98323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Tourmaline Bio Reports Second Quarter 2024 Financial Results and Recent Business Highlights</w:t>
      </w:r>
    </w:p>
    <w:p>
      <w:pPr>
        <w:spacing w:after="0" w:line="238" w:lineRule="exact"/>
        <w:rPr>
          <w:sz w:val="20"/>
          <w:szCs w:val="20"/>
          <w:color w:val="auto"/>
        </w:rPr>
      </w:pPr>
    </w:p>
    <w:p>
      <w:pPr>
        <w:ind w:left="4800" w:right="440" w:hanging="3696"/>
        <w:spacing w:after="0" w:line="234" w:lineRule="auto"/>
        <w:rPr>
          <w:sz w:val="20"/>
          <w:szCs w:val="20"/>
          <w:color w:val="auto"/>
        </w:rPr>
      </w:pPr>
      <w:r>
        <w:rPr>
          <w:rFonts w:ascii="Calibri" w:cs="Calibri" w:eastAsia="Calibri" w:hAnsi="Calibri"/>
          <w:sz w:val="20"/>
          <w:szCs w:val="20"/>
          <w:color w:val="auto"/>
        </w:rPr>
        <w:t>– First patent dosed in May 2024 in Phase 2 TRANQUILITY trial evaluatng pacibekitug (TOUR006) in patents with high cardiovascular risk –</w:t>
      </w:r>
    </w:p>
    <w:p>
      <w:pPr>
        <w:spacing w:after="0" w:line="239" w:lineRule="exact"/>
        <w:rPr>
          <w:sz w:val="20"/>
          <w:szCs w:val="20"/>
          <w:color w:val="auto"/>
        </w:rPr>
      </w:pPr>
    </w:p>
    <w:p>
      <w:pPr>
        <w:ind w:left="3260" w:right="20" w:hanging="2589"/>
        <w:spacing w:after="0" w:line="234" w:lineRule="auto"/>
        <w:rPr>
          <w:sz w:val="20"/>
          <w:szCs w:val="20"/>
          <w:color w:val="auto"/>
        </w:rPr>
      </w:pPr>
      <w:r>
        <w:rPr>
          <w:rFonts w:ascii="Calibri" w:cs="Calibri" w:eastAsia="Calibri" w:hAnsi="Calibri"/>
          <w:sz w:val="20"/>
          <w:szCs w:val="20"/>
          <w:color w:val="auto"/>
        </w:rPr>
        <w:t>– On track to initate a pivotal Phase 3 trial evaluatng pacibekitug delivered subcutaneously every 8 weeks as frst-line treatment for Thyroid Eye Disease (TED) in the second half of 2024 –</w:t>
      </w:r>
    </w:p>
    <w:p>
      <w:pPr>
        <w:spacing w:after="0" w:line="243" w:lineRule="exact"/>
        <w:rPr>
          <w:sz w:val="20"/>
          <w:szCs w:val="20"/>
          <w:color w:val="auto"/>
        </w:rPr>
      </w:pPr>
    </w:p>
    <w:p>
      <w:pPr>
        <w:ind w:left="2140"/>
        <w:spacing w:after="0"/>
        <w:rPr>
          <w:sz w:val="20"/>
          <w:szCs w:val="20"/>
          <w:color w:val="auto"/>
        </w:rPr>
      </w:pPr>
      <w:r>
        <w:rPr>
          <w:rFonts w:ascii="Calibri" w:cs="Calibri" w:eastAsia="Calibri" w:hAnsi="Calibri"/>
          <w:sz w:val="20"/>
          <w:szCs w:val="20"/>
          <w:color w:val="auto"/>
        </w:rPr>
        <w:t>– Added to the Russell 2000® Index and the broad-market Russell 3000® Index in June 2024 –</w:t>
      </w:r>
    </w:p>
    <w:p>
      <w:pPr>
        <w:spacing w:after="0" w:line="228" w:lineRule="exact"/>
        <w:rPr>
          <w:sz w:val="20"/>
          <w:szCs w:val="20"/>
          <w:color w:val="auto"/>
        </w:rPr>
      </w:pPr>
    </w:p>
    <w:p>
      <w:pPr>
        <w:ind w:left="1120"/>
        <w:spacing w:after="0"/>
        <w:rPr>
          <w:sz w:val="20"/>
          <w:szCs w:val="20"/>
          <w:color w:val="auto"/>
        </w:rPr>
      </w:pPr>
      <w:r>
        <w:rPr>
          <w:rFonts w:ascii="Calibri" w:cs="Calibri" w:eastAsia="Calibri" w:hAnsi="Calibri"/>
          <w:sz w:val="20"/>
          <w:szCs w:val="20"/>
          <w:color w:val="auto"/>
        </w:rPr>
        <w:t>– Cash, cash equivalents and investments of $334.4 million as of June 30, 2024, providing cash runway into 2027 –</w:t>
      </w:r>
    </w:p>
    <w:p>
      <w:pPr>
        <w:spacing w:after="0" w:line="252"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New York, NY – August 8, 2024 – Tourmaline Bio, Inc. (Tourmaline) (NASDAQ: TRML), a late-stage clinical biotechnology company developing transformatve medicines to dramatcally improve the lives of patents with life-altering immune and infammatory diseases, today announced its fnancial results for the second quarter of 2024 and outlined recent business highlights.</w:t>
      </w:r>
    </w:p>
    <w:p>
      <w:pPr>
        <w:spacing w:after="0" w:line="119"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“The second quarter of 2024 was another period of strong executon by Tourmaline, including the dosing of the frst patent in the Phase 2 TRANQUILITY trial. This represents an important milestone in our pacibekitug clinical development plan, where multple converging lines of evidence from human genetc studies, epidemiological studies, and mechanistc experiments support the therapeutc potental of IL-6 inhibiton for millions of patents with cardiovascular diseases,” said Sandeep Kulkarni, MD, Co-Founder and Chief Executve Ofcer of Tourmaline. “Along with our ongoing clinical development eforts in TED, the TRANQUILITY trial provides us with two high-convicton paths to unlock major value creaton as we approach key data readouts in 2025.”</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Clinical Highlights and Upcoming Milestones: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TED</w:t>
      </w:r>
    </w:p>
    <w:p>
      <w:pPr>
        <w:spacing w:after="0" w:line="93" w:lineRule="exact"/>
        <w:rPr>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The pivotal spiriTED Phase 2b trial in TED is currently enrolling, and Tourmaline contnues to expect topline data in 2025.</w:t>
      </w:r>
    </w:p>
    <w:p>
      <w:pPr>
        <w:spacing w:after="0" w:line="116" w:lineRule="exact"/>
        <w:rPr>
          <w:rFonts w:ascii="Calibri" w:cs="Calibri" w:eastAsia="Calibri" w:hAnsi="Calibri"/>
          <w:sz w:val="20"/>
          <w:szCs w:val="20"/>
          <w:color w:val="auto"/>
        </w:rPr>
      </w:pPr>
    </w:p>
    <w:p>
      <w:pPr>
        <w:ind w:left="66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Tourmaline is on track to initate a pivotal Phase 3 trial evaluatng pacibekitug delivered subcutaneously every 8 weeks as frst-line treatment for TED in the second half of 2024, with topline data expected in 2026.</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Cardiovascular Infammaton</w:t>
      </w:r>
    </w:p>
    <w:p>
      <w:pPr>
        <w:spacing w:after="0" w:line="117" w:lineRule="exact"/>
        <w:rPr>
          <w:sz w:val="20"/>
          <w:szCs w:val="20"/>
          <w:color w:val="auto"/>
        </w:rPr>
      </w:pPr>
    </w:p>
    <w:p>
      <w:pPr>
        <w:ind w:left="660" w:right="20" w:hanging="328"/>
        <w:spacing w:after="0" w:line="228"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In May 2024, Tourmaline initated the clinical development of pacibekitug for cardiovascular diseases with the frst patent dosed in its Phase 2 TRANQUILITY trial.</w:t>
      </w:r>
    </w:p>
    <w:p>
      <w:pPr>
        <w:spacing w:after="0" w:line="116" w:lineRule="exact"/>
        <w:rPr>
          <w:rFonts w:ascii="Calibri" w:cs="Calibri" w:eastAsia="Calibri" w:hAnsi="Calibri"/>
          <w:sz w:val="20"/>
          <w:szCs w:val="20"/>
          <w:color w:val="auto"/>
        </w:rPr>
      </w:pPr>
    </w:p>
    <w:p>
      <w:pPr>
        <w:jc w:val="both"/>
        <w:ind w:left="660" w:hanging="328"/>
        <w:spacing w:after="0" w:line="231"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At the American Society of Preventve Cardiology Annual Congress held in August 2024, Tourmaline presented a poster describing the ratonale and design of the Phase 2 TRANQUILITY trial (“Evaluatng TOUR006 in Partcipants with Chronic Kidney Disease and Elevated hs-CRP: Ratonale and Design of the TRANQUILITY Phase 2 Study”).</w:t>
      </w:r>
    </w:p>
    <w:p>
      <w:pPr>
        <w:spacing w:after="0" w:line="118" w:lineRule="exact"/>
        <w:rPr>
          <w:rFonts w:ascii="Calibri" w:cs="Calibri" w:eastAsia="Calibri" w:hAnsi="Calibri"/>
          <w:sz w:val="20"/>
          <w:szCs w:val="20"/>
          <w:color w:val="auto"/>
        </w:rPr>
      </w:pPr>
    </w:p>
    <w:p>
      <w:pPr>
        <w:jc w:val="both"/>
        <w:ind w:left="660" w:hanging="328"/>
        <w:spacing w:after="0" w:line="231"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The TRANQUILITY trial is evaluatng quarterly and monthly subcutaneous dosing of pacibekitug in patents with elevated high-sensitvity C-reactve protein (hs-CRP) and chronic kidney disease (CKD). Tourmaline contnues to expect topline data from this trial in the frst half of 2025.</w:t>
      </w:r>
    </w:p>
    <w:p>
      <w:pPr>
        <w:sectPr>
          <w:pgSz w:w="11900" w:h="16838" w:orient="portrait"/>
          <w:cols w:equalWidth="0" w:num="1">
            <w:col w:w="11240"/>
          </w:cols>
          <w:pgMar w:left="320" w:top="105" w:right="339" w:bottom="1440" w:gutter="0" w:footer="0" w:header="0"/>
        </w:sectPr>
      </w:pPr>
    </w:p>
    <w:bookmarkStart w:id="4" w:name="page5"/>
    <w:bookmarkEnd w:id="4"/>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ind w:left="660" w:right="20" w:hanging="328"/>
        <w:spacing w:after="0" w:line="234"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If successful, results from the Phase 2 TRANQUILITY trial are expected to positon Tourmaline to be Phase 3-ready in 2025 for pacibekitug in cardiovascular diseases.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 Corporate Highlights:</w:t>
      </w:r>
    </w:p>
    <w:p>
      <w:pPr>
        <w:spacing w:after="0" w:line="117" w:lineRule="exact"/>
        <w:rPr>
          <w:sz w:val="20"/>
          <w:szCs w:val="20"/>
          <w:color w:val="auto"/>
        </w:rPr>
      </w:pPr>
    </w:p>
    <w:p>
      <w:pPr>
        <w:jc w:val="both"/>
        <w:ind w:left="660" w:hanging="328"/>
        <w:spacing w:after="0" w:line="231" w:lineRule="auto"/>
        <w:tabs>
          <w:tab w:leader="none" w:pos="653"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In June 2024, Tourmaline announced the promoton of Ryan Robinson, CPA, to Chief Financial Ofcer and Treasurer. Mr. Robinson most recently held the role of Vice President, Finance and Controller at Tourmaline, in additon to serving as Tourmaline’s Interim Chief Financial Ofcer and Treasurer since October 2023.</w:t>
      </w:r>
    </w:p>
    <w:p>
      <w:pPr>
        <w:spacing w:after="0" w:line="118" w:lineRule="exact"/>
        <w:rPr>
          <w:rFonts w:ascii="Calibri" w:cs="Calibri" w:eastAsia="Calibri" w:hAnsi="Calibri"/>
          <w:sz w:val="20"/>
          <w:szCs w:val="20"/>
          <w:color w:val="auto"/>
        </w:rPr>
      </w:pPr>
    </w:p>
    <w:p>
      <w:pPr>
        <w:ind w:left="660" w:hanging="328"/>
        <w:spacing w:after="0" w:line="228" w:lineRule="auto"/>
        <w:tabs>
          <w:tab w:leader="none" w:pos="653"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Also in June 2024, Tourmaline was added to the Russell 2000® Index and the broad-market Russell 3000® Index as part of the Russell indexes annual reconsttuton.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Second Quarter 2024 Financial Results: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Cash Positon</w:t>
      </w:r>
    </w:p>
    <w:p>
      <w:pPr>
        <w:spacing w:after="0" w:line="117" w:lineRule="exact"/>
        <w:rPr>
          <w:sz w:val="20"/>
          <w:szCs w:val="20"/>
          <w:color w:val="auto"/>
        </w:rPr>
      </w:pPr>
    </w:p>
    <w:p>
      <w:pPr>
        <w:jc w:val="both"/>
        <w:ind w:left="660" w:hanging="328"/>
        <w:spacing w:after="0" w:line="233" w:lineRule="auto"/>
        <w:tabs>
          <w:tab w:leader="none" w:pos="65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Cash, cash equivalents and investments were $334.4 million as of June 30, 2024, as compared to $203.0 million as of December 31, 2023. Tourmaline antcipates that its current cash, cash equivalents and investments will provide cash runway into 2027, funding key pacibekitug data readouts in TED and cardiovascular disease and the opportunity to expand development eforts into additonal indicatons.</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Operatng Expenses</w:t>
      </w:r>
    </w:p>
    <w:p>
      <w:pPr>
        <w:spacing w:after="0" w:line="117" w:lineRule="exact"/>
        <w:rPr>
          <w:sz w:val="20"/>
          <w:szCs w:val="20"/>
          <w:color w:val="auto"/>
        </w:rPr>
      </w:pPr>
    </w:p>
    <w:p>
      <w:pPr>
        <w:jc w:val="both"/>
        <w:ind w:left="660" w:hanging="328"/>
        <w:spacing w:after="0" w:line="233"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Research and development expenses were $15.7 million for the second quarter of 2024, as compared to $14.5 million for the second quarter of 2023. The increase in research and development expenses was primarily driven by employee compensaton costs atributable to increased headcount as well as costs related to the spiriTED and TRANQUILITY trials. Research and development expenses incurred during the second quarter of 2023 included $8.8 million of non-cash expense related to the issuance of additonal shares to Pfzer Inc. (Pfzer) pursuant to an ant-diluton provision within the License Agreement between Tourmaline and Pfzer.</w:t>
      </w:r>
    </w:p>
    <w:p>
      <w:pPr>
        <w:spacing w:after="0" w:line="103" w:lineRule="exact"/>
        <w:rPr>
          <w:rFonts w:ascii="Calibri" w:cs="Calibri" w:eastAsia="Calibri" w:hAnsi="Calibri"/>
          <w:sz w:val="20"/>
          <w:szCs w:val="20"/>
          <w:color w:val="auto"/>
        </w:rPr>
      </w:pPr>
    </w:p>
    <w:p>
      <w:pPr>
        <w:jc w:val="both"/>
        <w:ind w:left="660" w:hanging="328"/>
        <w:spacing w:after="0" w:line="233"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General and administratve expenses were $6.2 million for the second quarter of 2024, as compared to $1.9 million for the second quarter of 2023. The increase in general and administratve expenses was primarily driven by employee compensaton costs atributable to increased headcount, increased consultng expenses, including recruitng, commercial planning and other services, and increased professional service fees.</w:t>
      </w:r>
    </w:p>
    <w:p>
      <w:pPr>
        <w:spacing w:after="0" w:line="10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Net Loss</w:t>
      </w:r>
    </w:p>
    <w:p>
      <w:pPr>
        <w:spacing w:after="0" w:line="103" w:lineRule="exact"/>
        <w:rPr>
          <w:sz w:val="20"/>
          <w:szCs w:val="20"/>
          <w:color w:val="auto"/>
        </w:rPr>
      </w:pPr>
    </w:p>
    <w:p>
      <w:pPr>
        <w:ind w:left="660" w:hanging="328"/>
        <w:spacing w:after="0" w:line="234"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Net loss was $17.5 million for the second quarter of 2024 and $16.1 million for the second quarter of 2023, resultng in basic and diluted net loss per share of $0.68 and $16.29, respectvely.</w:t>
      </w:r>
    </w:p>
    <w:p>
      <w:pPr>
        <w:spacing w:after="0" w:line="117" w:lineRule="exact"/>
        <w:rPr>
          <w:rFonts w:ascii="Calibri" w:cs="Calibri" w:eastAsia="Calibri" w:hAnsi="Calibri"/>
          <w:sz w:val="20"/>
          <w:szCs w:val="20"/>
          <w:color w:val="auto"/>
        </w:rPr>
      </w:pPr>
    </w:p>
    <w:p>
      <w:pPr>
        <w:jc w:val="both"/>
        <w:ind w:left="660" w:hanging="328"/>
        <w:spacing w:after="0" w:line="230"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The increase in net loss was atributable to increased operatng expenses and the overall growth of Tourmaline throughout 2023 and into 2024. The decrease in net loss per share was atributable to the issuance of additonal shares of common stock in conjuncton with Tourmaline’s reverse merger and private placement that were completed in October 2023 as well as the underwriten follow-on public ofering completed by Tourmaline in January 2024.</w:t>
      </w:r>
    </w:p>
    <w:p>
      <w:pPr>
        <w:sectPr>
          <w:pgSz w:w="11900" w:h="16838" w:orient="portrait"/>
          <w:cols w:equalWidth="0" w:num="1">
            <w:col w:w="11240"/>
          </w:cols>
          <w:pgMar w:left="320" w:top="1440" w:right="339" w:bottom="1440" w:gutter="0" w:footer="0" w:header="0"/>
        </w:sectPr>
      </w:pPr>
    </w:p>
    <w:bookmarkStart w:id="5" w:name="page6"/>
    <w:bookmarkEnd w:id="5"/>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b w:val="1"/>
          <w:bCs w:val="1"/>
          <w:color w:val="auto"/>
        </w:rPr>
        <w:t>About Tourmaline Bio:</w:t>
      </w:r>
    </w:p>
    <w:p>
      <w:pPr>
        <w:spacing w:after="0" w:line="117"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Tourmaline is a late-stage clinical biotechnology company driven by its mission to develop transformatve medicines that dramatcally improve the lives of patents with life-altering immune and infammatory diseases. Tourmaline’s lead asset is pacibekitug (formerly known as TOUR006).</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Pacibekitug:</w:t>
      </w:r>
    </w:p>
    <w:p>
      <w:pPr>
        <w:spacing w:after="0" w:line="117" w:lineRule="exact"/>
        <w:rPr>
          <w:sz w:val="20"/>
          <w:szCs w:val="20"/>
          <w:color w:val="auto"/>
        </w:rPr>
      </w:pPr>
    </w:p>
    <w:p>
      <w:pPr>
        <w:jc w:val="both"/>
        <w:ind w:right="20"/>
        <w:spacing w:after="0" w:line="233" w:lineRule="auto"/>
        <w:rPr>
          <w:sz w:val="20"/>
          <w:szCs w:val="20"/>
          <w:color w:val="auto"/>
        </w:rPr>
      </w:pPr>
      <w:r>
        <w:rPr>
          <w:rFonts w:ascii="Calibri" w:cs="Calibri" w:eastAsia="Calibri" w:hAnsi="Calibri"/>
          <w:sz w:val="20"/>
          <w:szCs w:val="20"/>
          <w:color w:val="auto"/>
        </w:rPr>
        <w:t>Pacibekitug (also referred to as TOUR006) is a long-actng, fully-human, ant-IL-6 monoclonal antbody with best-in-class potental and diferentated propertes including a naturally long half-life, low immunogenicity, and high binding afnity to IL-6. Pacibekitug has been previously studied in 448 partcipants, including patents with autoimmune disorders, across six completed clinical trials. Tourmaline is developing pacibekitug in TED and ASCVD as its frst two indicatons, with additonal diseases under consideraton.</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Forward-Looking Statements:</w:t>
      </w:r>
    </w:p>
    <w:p>
      <w:pPr>
        <w:spacing w:after="0" w:line="117"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Any statements contained in this press release that do not describe historical facts may consttute forward-looking statements as that term is defned in the Private Securites Litgaton Reform Act of 1995. These statements may be identfed by words and phrases such as “believe,” “designed to,” “expect,” “may,” “plan,” “potental,” “will” and similar expressions, and are based on Tourmaline’s current beliefs and expectatons. These forward-looking statements include expectatons regarding the development and potental therapeutc benefts of pacibekitug; the tming of initaton, progress and results of Tourmaline’s current and future clinical trials for pacibekitug, including reportng of data therefrom; the tming and potental of preclinical research and development actvites; market opportunites; the tming and potental to expand pacibekitug into additonal indicatons; and Tourmaline’s antcipated cash runway. These statements involve risks and uncertaintes that could cause actual results to difer materially from those refected in such statements. Risks and uncertaintes that may cause actual results to difer materially include uncertaintes inherent in the development of therapeutc product candidates, such as the risk that any one or more of Tourmaline’s current or future product candidates will not be successfully developed or commercialized; the risk of delay or cessaton of any planned clinical trials of Tourmaline’s current or future product candidates; the risk that prior results, such as signals of safety, actvity or durability of efect, observed from preclinical trials, will not be replicated or will not contnue in ongoing or future studies or clinical trials involving Tourmaline’s current or future product candidates; the risk that Tourmaline’s current or future product candidates or procedures in connecton with the administraton thereof will not have the safety or efcacy profle that Tourmaline antcipates; risks regarding the accuracy of Tourmaline’s estmates of expenses, capital requirements and needs for additonal fnancing; changes in expected or existng competton; changes in the regulatory environment; the uncertaintes and tming of the regulatory approval process; unexpected litgaton or other disputes; the impacts of macroeconomic conditons Tourmaline’s business, clinical trials and fnancial positon; and other risks and uncertaintes that are described in Tourmaline’s Quarterly Report on Form 10-Q fled with the U.S. Securites and Exchange Commission (“SEC”) on or about August 8, 2024 and other flings that Tourmaline makes with the SEC from tme to tme. Any forward-looking statements speak only as of the date of this press release and are based on informaton available to Tourmaline as of the date hereof, and Tourmaline assumes no obligaton to, and does not intend to, update any forward-looking statements, whether as a result of new informaton, future events or otherwise.</w:t>
      </w:r>
    </w:p>
    <w:p>
      <w:pPr>
        <w:sectPr>
          <w:pgSz w:w="11900" w:h="16838" w:orient="portrait"/>
          <w:cols w:equalWidth="0" w:num="1">
            <w:col w:w="11240"/>
          </w:cols>
          <w:pgMar w:left="320" w:top="1440" w:right="339" w:bottom="1440" w:gutter="0" w:footer="0" w:header="0"/>
        </w:sectPr>
      </w:pPr>
    </w:p>
    <w:bookmarkStart w:id="6" w:name="page7"/>
    <w:bookmarkEnd w:id="6"/>
    <w:p>
      <w:pPr>
        <w:jc w:val="center"/>
        <w:ind w:right="20"/>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t>Tourmaline Bio, Inc.</w:t>
      </w:r>
    </w:p>
    <w:p>
      <w:pPr>
        <w:jc w:val="center"/>
        <w:ind w:right="20"/>
        <w:spacing w:after="0" w:line="215" w:lineRule="auto"/>
        <w:rPr>
          <w:sz w:val="20"/>
          <w:szCs w:val="20"/>
          <w:color w:val="auto"/>
        </w:rPr>
      </w:pPr>
      <w:r>
        <w:rPr>
          <w:rFonts w:ascii="Calibri" w:cs="Calibri" w:eastAsia="Calibri" w:hAnsi="Calibri"/>
          <w:sz w:val="22"/>
          <w:szCs w:val="22"/>
          <w:b w:val="1"/>
          <w:bCs w:val="1"/>
          <w:color w:val="auto"/>
        </w:rPr>
        <w:t>Condensed Consolidated Statements of Operatons (unaudited)</w:t>
      </w:r>
    </w:p>
    <w:p>
      <w:pPr>
        <w:jc w:val="center"/>
        <w:ind w:right="20"/>
        <w:spacing w:after="0" w:line="231" w:lineRule="auto"/>
        <w:rPr>
          <w:sz w:val="20"/>
          <w:szCs w:val="20"/>
          <w:color w:val="auto"/>
        </w:rPr>
      </w:pPr>
      <w:r>
        <w:rPr>
          <w:rFonts w:ascii="Calibri" w:cs="Calibri" w:eastAsia="Calibri" w:hAnsi="Calibri"/>
          <w:sz w:val="22"/>
          <w:szCs w:val="22"/>
          <w:b w:val="1"/>
          <w:bCs w:val="1"/>
          <w:color w:val="auto"/>
        </w:rPr>
        <w:t>(amounts in thousands,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gridSpan w:val="5"/>
          </w:tcPr>
          <w:p>
            <w:pPr>
              <w:ind w:left="380"/>
              <w:spacing w:after="0"/>
              <w:rPr>
                <w:sz w:val="20"/>
                <w:szCs w:val="20"/>
                <w:color w:val="auto"/>
              </w:rPr>
            </w:pPr>
            <w:r>
              <w:rPr>
                <w:rFonts w:ascii="Calibri" w:cs="Calibri" w:eastAsia="Calibri" w:hAnsi="Calibri"/>
                <w:sz w:val="20"/>
                <w:szCs w:val="20"/>
                <w:b w:val="1"/>
                <w:bCs w:val="1"/>
                <w:color w:val="auto"/>
              </w:rPr>
              <w:t>Three Months Ended</w:t>
            </w:r>
          </w:p>
        </w:tc>
        <w:tc>
          <w:tcPr>
            <w:tcW w:w="340" w:type="dxa"/>
            <w:vAlign w:val="bottom"/>
          </w:tcPr>
          <w:p>
            <w:pPr>
              <w:spacing w:after="0"/>
              <w:rPr>
                <w:sz w:val="21"/>
                <w:szCs w:val="21"/>
                <w:color w:val="auto"/>
              </w:rPr>
            </w:pPr>
          </w:p>
        </w:tc>
        <w:tc>
          <w:tcPr>
            <w:tcW w:w="2900" w:type="dxa"/>
            <w:vAlign w:val="bottom"/>
            <w:gridSpan w:val="4"/>
          </w:tcPr>
          <w:p>
            <w:pPr>
              <w:jc w:val="right"/>
              <w:ind w:right="761"/>
              <w:spacing w:after="0"/>
              <w:rPr>
                <w:sz w:val="20"/>
                <w:szCs w:val="20"/>
                <w:color w:val="auto"/>
              </w:rPr>
            </w:pPr>
            <w:r>
              <w:rPr>
                <w:rFonts w:ascii="Calibri" w:cs="Calibri" w:eastAsia="Calibri" w:hAnsi="Calibri"/>
                <w:sz w:val="20"/>
                <w:szCs w:val="20"/>
                <w:b w:val="1"/>
                <w:bCs w:val="1"/>
                <w:color w:val="auto"/>
              </w:rPr>
              <w:t>Six Months Ended</w:t>
            </w:r>
          </w:p>
        </w:tc>
      </w:tr>
      <w:tr>
        <w:trPr>
          <w:trHeight w:val="257"/>
        </w:trPr>
        <w:tc>
          <w:tcPr>
            <w:tcW w:w="4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3"/>
          </w:tcPr>
          <w:p>
            <w:pPr>
              <w:jc w:val="right"/>
              <w:ind w:right="41"/>
              <w:spacing w:after="0"/>
              <w:rPr>
                <w:sz w:val="20"/>
                <w:szCs w:val="20"/>
                <w:color w:val="auto"/>
              </w:rPr>
            </w:pPr>
            <w:r>
              <w:rPr>
                <w:rFonts w:ascii="Calibri" w:cs="Calibri" w:eastAsia="Calibri" w:hAnsi="Calibri"/>
                <w:sz w:val="20"/>
                <w:szCs w:val="20"/>
                <w:b w:val="1"/>
                <w:bCs w:val="1"/>
                <w:color w:val="auto"/>
              </w:rPr>
              <w:t>June 30,</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right"/>
              <w:ind w:right="41"/>
              <w:spacing w:after="0"/>
              <w:rPr>
                <w:sz w:val="20"/>
                <w:szCs w:val="20"/>
                <w:color w:val="auto"/>
              </w:rPr>
            </w:pPr>
            <w:r>
              <w:rPr>
                <w:rFonts w:ascii="Calibri" w:cs="Calibri" w:eastAsia="Calibri" w:hAnsi="Calibri"/>
                <w:sz w:val="20"/>
                <w:szCs w:val="20"/>
                <w:b w:val="1"/>
                <w:bCs w:val="1"/>
                <w:color w:val="auto"/>
              </w:rPr>
              <w:t>June 30,</w:t>
            </w:r>
          </w:p>
        </w:tc>
        <w:tc>
          <w:tcPr>
            <w:tcW w:w="1140" w:type="dxa"/>
            <w:vAlign w:val="bottom"/>
          </w:tcPr>
          <w:p>
            <w:pPr>
              <w:spacing w:after="0"/>
              <w:rPr>
                <w:sz w:val="22"/>
                <w:szCs w:val="22"/>
                <w:color w:val="auto"/>
              </w:rPr>
            </w:pPr>
          </w:p>
        </w:tc>
      </w:tr>
      <w:tr>
        <w:trPr>
          <w:trHeight w:val="60"/>
        </w:trPr>
        <w:tc>
          <w:tcPr>
            <w:tcW w:w="43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4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81"/>
              <w:spacing w:after="0" w:line="230" w:lineRule="exact"/>
              <w:rPr>
                <w:sz w:val="20"/>
                <w:szCs w:val="20"/>
                <w:color w:val="auto"/>
              </w:rPr>
            </w:pPr>
            <w:r>
              <w:rPr>
                <w:rFonts w:ascii="Calibri" w:cs="Calibri" w:eastAsia="Calibri" w:hAnsi="Calibri"/>
                <w:sz w:val="20"/>
                <w:szCs w:val="20"/>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81"/>
              <w:spacing w:after="0" w:line="230" w:lineRule="exact"/>
              <w:rPr>
                <w:sz w:val="20"/>
                <w:szCs w:val="20"/>
                <w:color w:val="auto"/>
              </w:rPr>
            </w:pPr>
            <w:r>
              <w:rPr>
                <w:rFonts w:ascii="Calibri" w:cs="Calibri" w:eastAsia="Calibri" w:hAnsi="Calibri"/>
                <w:sz w:val="20"/>
                <w:szCs w:val="20"/>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01"/>
              <w:spacing w:after="0" w:line="230" w:lineRule="exact"/>
              <w:rPr>
                <w:sz w:val="20"/>
                <w:szCs w:val="20"/>
                <w:color w:val="auto"/>
              </w:rPr>
            </w:pPr>
            <w:r>
              <w:rPr>
                <w:rFonts w:ascii="Calibri" w:cs="Calibri" w:eastAsia="Calibri" w:hAnsi="Calibri"/>
                <w:sz w:val="20"/>
                <w:szCs w:val="20"/>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481"/>
              <w:spacing w:after="0" w:line="230" w:lineRule="exact"/>
              <w:rPr>
                <w:sz w:val="20"/>
                <w:szCs w:val="20"/>
                <w:color w:val="auto"/>
              </w:rPr>
            </w:pPr>
            <w:r>
              <w:rPr>
                <w:rFonts w:ascii="Calibri" w:cs="Calibri" w:eastAsia="Calibri" w:hAnsi="Calibri"/>
                <w:sz w:val="20"/>
                <w:szCs w:val="20"/>
                <w:b w:val="1"/>
                <w:bCs w:val="1"/>
                <w:color w:val="auto"/>
              </w:rPr>
              <w:t>2023</w:t>
            </w:r>
          </w:p>
        </w:tc>
      </w:tr>
      <w:tr>
        <w:trPr>
          <w:trHeight w:val="60"/>
        </w:trPr>
        <w:tc>
          <w:tcPr>
            <w:tcW w:w="43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7"/>
        </w:trPr>
        <w:tc>
          <w:tcPr>
            <w:tcW w:w="4300" w:type="dxa"/>
            <w:vAlign w:val="bottom"/>
            <w:tcBorders>
              <w:bottom w:val="single" w:sz="8" w:color="CCEEFF"/>
            </w:tcBorders>
            <w:shd w:val="clear" w:color="auto" w:fill="CCEEFF"/>
          </w:tcPr>
          <w:p>
            <w:pPr>
              <w:ind w:left="20"/>
              <w:spacing w:after="0" w:line="217" w:lineRule="exact"/>
              <w:rPr>
                <w:sz w:val="20"/>
                <w:szCs w:val="20"/>
                <w:color w:val="auto"/>
              </w:rPr>
            </w:pPr>
            <w:r>
              <w:rPr>
                <w:rFonts w:ascii="Calibri" w:cs="Calibri" w:eastAsia="Calibri" w:hAnsi="Calibri"/>
                <w:sz w:val="20"/>
                <w:szCs w:val="20"/>
                <w:color w:val="auto"/>
              </w:rPr>
              <w:t>Operatng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37"/>
        </w:trPr>
        <w:tc>
          <w:tcPr>
            <w:tcW w:w="4300" w:type="dxa"/>
            <w:vAlign w:val="bottom"/>
          </w:tcPr>
          <w:p>
            <w:pPr>
              <w:ind w:left="240"/>
              <w:spacing w:after="0" w:line="236" w:lineRule="exact"/>
              <w:rPr>
                <w:sz w:val="20"/>
                <w:szCs w:val="20"/>
                <w:color w:val="auto"/>
              </w:rPr>
            </w:pPr>
            <w:r>
              <w:rPr>
                <w:rFonts w:ascii="Calibri" w:cs="Calibri" w:eastAsia="Calibri" w:hAnsi="Calibri"/>
                <w:sz w:val="20"/>
                <w:szCs w:val="20"/>
                <w:color w:val="auto"/>
              </w:rPr>
              <w:t>Research and development</w:t>
            </w:r>
          </w:p>
        </w:tc>
        <w:tc>
          <w:tcPr>
            <w:tcW w:w="360" w:type="dxa"/>
            <w:vAlign w:val="bottom"/>
          </w:tcPr>
          <w:p>
            <w:pPr>
              <w:jc w:val="right"/>
              <w:ind w:right="141"/>
              <w:spacing w:after="0" w:line="236" w:lineRule="exact"/>
              <w:rPr>
                <w:sz w:val="20"/>
                <w:szCs w:val="20"/>
                <w:color w:val="auto"/>
              </w:rPr>
            </w:pPr>
            <w:r>
              <w:rPr>
                <w:rFonts w:ascii="Calibri" w:cs="Calibri" w:eastAsia="Calibri" w:hAnsi="Calibri"/>
                <w:sz w:val="20"/>
                <w:szCs w:val="20"/>
                <w:color w:val="auto"/>
                <w:w w:val="98"/>
              </w:rPr>
              <w:t>$</w:t>
            </w:r>
          </w:p>
        </w:tc>
        <w:tc>
          <w:tcPr>
            <w:tcW w:w="1220" w:type="dxa"/>
            <w:vAlign w:val="bottom"/>
          </w:tcPr>
          <w:p>
            <w:pPr>
              <w:jc w:val="right"/>
              <w:spacing w:after="0" w:line="236" w:lineRule="exact"/>
              <w:rPr>
                <w:sz w:val="20"/>
                <w:szCs w:val="20"/>
                <w:color w:val="auto"/>
              </w:rPr>
            </w:pPr>
            <w:r>
              <w:rPr>
                <w:rFonts w:ascii="Calibri" w:cs="Calibri" w:eastAsia="Calibri" w:hAnsi="Calibri"/>
                <w:sz w:val="20"/>
                <w:szCs w:val="20"/>
                <w:color w:val="auto"/>
              </w:rPr>
              <w:t>15,734</w:t>
            </w:r>
          </w:p>
        </w:tc>
        <w:tc>
          <w:tcPr>
            <w:tcW w:w="100" w:type="dxa"/>
            <w:vAlign w:val="bottom"/>
          </w:tcPr>
          <w:p>
            <w:pPr>
              <w:spacing w:after="0"/>
              <w:rPr>
                <w:sz w:val="20"/>
                <w:szCs w:val="20"/>
                <w:color w:val="auto"/>
              </w:rPr>
            </w:pPr>
          </w:p>
        </w:tc>
        <w:tc>
          <w:tcPr>
            <w:tcW w:w="420" w:type="dxa"/>
            <w:vAlign w:val="bottom"/>
          </w:tcPr>
          <w:p>
            <w:pPr>
              <w:jc w:val="right"/>
              <w:ind w:right="221"/>
              <w:spacing w:after="0" w:line="236"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36" w:lineRule="exact"/>
              <w:rPr>
                <w:sz w:val="20"/>
                <w:szCs w:val="20"/>
                <w:color w:val="auto"/>
              </w:rPr>
            </w:pPr>
            <w:r>
              <w:rPr>
                <w:rFonts w:ascii="Calibri" w:cs="Calibri" w:eastAsia="Calibri" w:hAnsi="Calibri"/>
                <w:sz w:val="20"/>
                <w:szCs w:val="20"/>
                <w:color w:val="auto"/>
              </w:rPr>
              <w:t>14,454</w:t>
            </w:r>
          </w:p>
        </w:tc>
        <w:tc>
          <w:tcPr>
            <w:tcW w:w="100" w:type="dxa"/>
            <w:vAlign w:val="bottom"/>
          </w:tcPr>
          <w:p>
            <w:pPr>
              <w:spacing w:after="0"/>
              <w:rPr>
                <w:sz w:val="20"/>
                <w:szCs w:val="20"/>
                <w:color w:val="auto"/>
              </w:rPr>
            </w:pPr>
          </w:p>
        </w:tc>
        <w:tc>
          <w:tcPr>
            <w:tcW w:w="340" w:type="dxa"/>
            <w:vAlign w:val="bottom"/>
          </w:tcPr>
          <w:p>
            <w:pPr>
              <w:jc w:val="right"/>
              <w:ind w:right="141"/>
              <w:spacing w:after="0" w:line="236" w:lineRule="exact"/>
              <w:rPr>
                <w:sz w:val="20"/>
                <w:szCs w:val="20"/>
                <w:color w:val="auto"/>
              </w:rPr>
            </w:pPr>
            <w:r>
              <w:rPr>
                <w:rFonts w:ascii="Calibri" w:cs="Calibri" w:eastAsia="Calibri" w:hAnsi="Calibri"/>
                <w:sz w:val="20"/>
                <w:szCs w:val="20"/>
                <w:color w:val="auto"/>
                <w:w w:val="78"/>
              </w:rPr>
              <w:t>$</w:t>
            </w:r>
          </w:p>
        </w:tc>
        <w:tc>
          <w:tcPr>
            <w:tcW w:w="1240" w:type="dxa"/>
            <w:vAlign w:val="bottom"/>
          </w:tcPr>
          <w:p>
            <w:pPr>
              <w:jc w:val="right"/>
              <w:spacing w:after="0" w:line="236" w:lineRule="exact"/>
              <w:rPr>
                <w:sz w:val="20"/>
                <w:szCs w:val="20"/>
                <w:color w:val="auto"/>
              </w:rPr>
            </w:pPr>
            <w:r>
              <w:rPr>
                <w:rFonts w:ascii="Calibri" w:cs="Calibri" w:eastAsia="Calibri" w:hAnsi="Calibri"/>
                <w:sz w:val="20"/>
                <w:szCs w:val="20"/>
                <w:color w:val="auto"/>
              </w:rPr>
              <w:t>27,110</w:t>
            </w:r>
          </w:p>
        </w:tc>
        <w:tc>
          <w:tcPr>
            <w:tcW w:w="80" w:type="dxa"/>
            <w:vAlign w:val="bottom"/>
          </w:tcPr>
          <w:p>
            <w:pPr>
              <w:spacing w:after="0"/>
              <w:rPr>
                <w:sz w:val="20"/>
                <w:szCs w:val="20"/>
                <w:color w:val="auto"/>
              </w:rPr>
            </w:pPr>
          </w:p>
        </w:tc>
        <w:tc>
          <w:tcPr>
            <w:tcW w:w="440" w:type="dxa"/>
            <w:vAlign w:val="bottom"/>
          </w:tcPr>
          <w:p>
            <w:pPr>
              <w:jc w:val="right"/>
              <w:ind w:right="221"/>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tcPr>
          <w:p>
            <w:pPr>
              <w:jc w:val="right"/>
              <w:spacing w:after="0" w:line="236" w:lineRule="exact"/>
              <w:rPr>
                <w:sz w:val="20"/>
                <w:szCs w:val="20"/>
                <w:color w:val="auto"/>
              </w:rPr>
            </w:pPr>
            <w:r>
              <w:rPr>
                <w:rFonts w:ascii="Calibri" w:cs="Calibri" w:eastAsia="Calibri" w:hAnsi="Calibri"/>
                <w:sz w:val="20"/>
                <w:szCs w:val="20"/>
                <w:color w:val="auto"/>
              </w:rPr>
              <w:t>20,591</w:t>
            </w:r>
          </w:p>
        </w:tc>
      </w:tr>
      <w:tr>
        <w:trPr>
          <w:trHeight w:val="60"/>
        </w:trPr>
        <w:tc>
          <w:tcPr>
            <w:tcW w:w="4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97"/>
        </w:trPr>
        <w:tc>
          <w:tcPr>
            <w:tcW w:w="430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General and administratve</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6,237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1,920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12,378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3,285</w:t>
            </w:r>
          </w:p>
        </w:tc>
      </w:tr>
      <w:tr>
        <w:trPr>
          <w:trHeight w:val="231"/>
        </w:trPr>
        <w:tc>
          <w:tcPr>
            <w:tcW w:w="4300" w:type="dxa"/>
            <w:vAlign w:val="bottom"/>
          </w:tcPr>
          <w:p>
            <w:pPr>
              <w:ind w:left="460"/>
              <w:spacing w:after="0" w:line="230" w:lineRule="exact"/>
              <w:rPr>
                <w:sz w:val="20"/>
                <w:szCs w:val="20"/>
                <w:color w:val="auto"/>
              </w:rPr>
            </w:pPr>
            <w:r>
              <w:rPr>
                <w:rFonts w:ascii="Calibri" w:cs="Calibri" w:eastAsia="Calibri" w:hAnsi="Calibri"/>
                <w:sz w:val="20"/>
                <w:szCs w:val="20"/>
                <w:color w:val="auto"/>
              </w:rPr>
              <w:t>Total operatng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21,971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16,374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39,488</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23,876</w:t>
            </w:r>
          </w:p>
        </w:tc>
      </w:tr>
      <w:tr>
        <w:trPr>
          <w:trHeight w:val="60"/>
        </w:trPr>
        <w:tc>
          <w:tcPr>
            <w:tcW w:w="43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0"/>
        </w:trPr>
        <w:tc>
          <w:tcPr>
            <w:tcW w:w="4300" w:type="dxa"/>
            <w:vAlign w:val="bottom"/>
            <w:tcBorders>
              <w:bottom w:val="single" w:sz="8" w:color="CCEEFF"/>
            </w:tcBorders>
            <w:shd w:val="clear" w:color="auto" w:fill="CCEEFF"/>
          </w:tcPr>
          <w:p>
            <w:pPr>
              <w:ind w:left="20"/>
              <w:spacing w:after="0" w:line="230" w:lineRule="exact"/>
              <w:rPr>
                <w:sz w:val="20"/>
                <w:szCs w:val="20"/>
                <w:color w:val="auto"/>
              </w:rPr>
            </w:pPr>
            <w:r>
              <w:rPr>
                <w:rFonts w:ascii="Calibri" w:cs="Calibri" w:eastAsia="Calibri" w:hAnsi="Calibri"/>
                <w:sz w:val="20"/>
                <w:szCs w:val="20"/>
                <w:color w:val="auto"/>
              </w:rPr>
              <w:t>Loss from operatons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(21,971)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(16,374)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(39,488)</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(23,876)</w:t>
            </w:r>
          </w:p>
        </w:tc>
      </w:tr>
      <w:tr>
        <w:trPr>
          <w:trHeight w:val="237"/>
        </w:trPr>
        <w:tc>
          <w:tcPr>
            <w:tcW w:w="4300" w:type="dxa"/>
            <w:vAlign w:val="bottom"/>
          </w:tcPr>
          <w:p>
            <w:pPr>
              <w:ind w:left="20"/>
              <w:spacing w:after="0" w:line="236" w:lineRule="exact"/>
              <w:rPr>
                <w:sz w:val="20"/>
                <w:szCs w:val="20"/>
                <w:color w:val="auto"/>
              </w:rPr>
            </w:pPr>
            <w:r>
              <w:rPr>
                <w:rFonts w:ascii="Calibri" w:cs="Calibri" w:eastAsia="Calibri" w:hAnsi="Calibri"/>
                <w:sz w:val="20"/>
                <w:szCs w:val="20"/>
                <w:color w:val="auto"/>
              </w:rPr>
              <w:t>Other income, net</w:t>
            </w:r>
          </w:p>
        </w:tc>
        <w:tc>
          <w:tcPr>
            <w:tcW w:w="360" w:type="dxa"/>
            <w:vAlign w:val="bottom"/>
          </w:tcPr>
          <w:p>
            <w:pPr>
              <w:spacing w:after="0"/>
              <w:rPr>
                <w:sz w:val="20"/>
                <w:szCs w:val="20"/>
                <w:color w:val="auto"/>
              </w:rPr>
            </w:pPr>
          </w:p>
        </w:tc>
        <w:tc>
          <w:tcPr>
            <w:tcW w:w="1220" w:type="dxa"/>
            <w:vAlign w:val="bottom"/>
          </w:tcPr>
          <w:p>
            <w:pPr>
              <w:jc w:val="right"/>
              <w:spacing w:after="0" w:line="236" w:lineRule="exact"/>
              <w:rPr>
                <w:sz w:val="20"/>
                <w:szCs w:val="20"/>
                <w:color w:val="auto"/>
              </w:rPr>
            </w:pPr>
            <w:r>
              <w:rPr>
                <w:rFonts w:ascii="Calibri" w:cs="Calibri" w:eastAsia="Calibri" w:hAnsi="Calibri"/>
                <w:sz w:val="20"/>
                <w:szCs w:val="20"/>
                <w:color w:val="auto"/>
              </w:rPr>
              <w:t>4,484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line="236" w:lineRule="exact"/>
              <w:rPr>
                <w:sz w:val="20"/>
                <w:szCs w:val="20"/>
                <w:color w:val="auto"/>
              </w:rPr>
            </w:pPr>
            <w:r>
              <w:rPr>
                <w:rFonts w:ascii="Calibri" w:cs="Calibri" w:eastAsia="Calibri" w:hAnsi="Calibri"/>
                <w:sz w:val="20"/>
                <w:szCs w:val="20"/>
                <w:color w:val="auto"/>
              </w:rPr>
              <w:t>245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line="236" w:lineRule="exact"/>
              <w:rPr>
                <w:sz w:val="20"/>
                <w:szCs w:val="20"/>
                <w:color w:val="auto"/>
              </w:rPr>
            </w:pPr>
            <w:r>
              <w:rPr>
                <w:rFonts w:ascii="Calibri" w:cs="Calibri" w:eastAsia="Calibri" w:hAnsi="Calibri"/>
                <w:sz w:val="20"/>
                <w:szCs w:val="20"/>
                <w:color w:val="auto"/>
              </w:rPr>
              <w:t>8,690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line="236" w:lineRule="exact"/>
              <w:rPr>
                <w:sz w:val="20"/>
                <w:szCs w:val="20"/>
                <w:color w:val="auto"/>
              </w:rPr>
            </w:pPr>
            <w:r>
              <w:rPr>
                <w:rFonts w:ascii="Calibri" w:cs="Calibri" w:eastAsia="Calibri" w:hAnsi="Calibri"/>
                <w:sz w:val="20"/>
                <w:szCs w:val="20"/>
                <w:color w:val="auto"/>
              </w:rPr>
              <w:t>245</w:t>
            </w:r>
          </w:p>
        </w:tc>
      </w:tr>
      <w:tr>
        <w:trPr>
          <w:trHeight w:val="60"/>
        </w:trPr>
        <w:tc>
          <w:tcPr>
            <w:tcW w:w="43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315"/>
        </w:trPr>
        <w:tc>
          <w:tcPr>
            <w:tcW w:w="43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20"/>
                <w:szCs w:val="20"/>
                <w:color w:val="auto"/>
              </w:rPr>
              <w:t>Net loss</w:t>
            </w:r>
          </w:p>
        </w:tc>
        <w:tc>
          <w:tcPr>
            <w:tcW w:w="360" w:type="dxa"/>
            <w:vAlign w:val="bottom"/>
            <w:tcBorders>
              <w:bottom w:val="single" w:sz="8" w:color="CCEEFF"/>
            </w:tcBorders>
            <w:shd w:val="clear" w:color="auto" w:fill="CCEEFF"/>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2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(17,487)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21"/>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(16,129)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41"/>
              <w:spacing w:after="0" w:line="234" w:lineRule="exact"/>
              <w:rPr>
                <w:sz w:val="20"/>
                <w:szCs w:val="20"/>
                <w:color w:val="auto"/>
              </w:rPr>
            </w:pPr>
            <w:r>
              <w:rPr>
                <w:rFonts w:ascii="Calibri" w:cs="Calibri" w:eastAsia="Calibri" w:hAnsi="Calibri"/>
                <w:sz w:val="20"/>
                <w:szCs w:val="20"/>
                <w:color w:val="auto"/>
                <w:w w:val="78"/>
              </w:rPr>
              <w:t>$</w:t>
            </w:r>
          </w:p>
        </w:tc>
        <w:tc>
          <w:tcPr>
            <w:tcW w:w="12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(30,798)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21"/>
              <w:spacing w:after="0" w:line="234" w:lineRule="exact"/>
              <w:rPr>
                <w:sz w:val="20"/>
                <w:szCs w:val="20"/>
                <w:color w:val="auto"/>
              </w:rPr>
            </w:pPr>
            <w:r>
              <w:rPr>
                <w:rFonts w:ascii="Calibri" w:cs="Calibri" w:eastAsia="Calibri" w:hAnsi="Calibri"/>
                <w:sz w:val="20"/>
                <w:szCs w:val="20"/>
                <w:color w:val="auto"/>
                <w:w w:val="98"/>
              </w:rPr>
              <w:t>$</w:t>
            </w:r>
          </w:p>
        </w:tc>
        <w:tc>
          <w:tcPr>
            <w:tcW w:w="11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(23,631)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4300" w:type="dxa"/>
            <w:vAlign w:val="bottom"/>
          </w:tcPr>
          <w:p>
            <w:pPr>
              <w:ind w:left="20"/>
              <w:spacing w:after="0" w:line="211" w:lineRule="exact"/>
              <w:rPr>
                <w:sz w:val="20"/>
                <w:szCs w:val="20"/>
                <w:color w:val="auto"/>
              </w:rPr>
            </w:pPr>
            <w:r>
              <w:rPr>
                <w:rFonts w:ascii="Calibri" w:cs="Calibri" w:eastAsia="Calibri" w:hAnsi="Calibri"/>
                <w:sz w:val="20"/>
                <w:szCs w:val="20"/>
                <w:color w:val="auto"/>
              </w:rPr>
              <w:t>Net loss per share, basic and diluted</w:t>
            </w:r>
          </w:p>
        </w:tc>
        <w:tc>
          <w:tcPr>
            <w:tcW w:w="360" w:type="dxa"/>
            <w:vAlign w:val="bottom"/>
          </w:tcPr>
          <w:p>
            <w:pPr>
              <w:jc w:val="right"/>
              <w:ind w:right="141"/>
              <w:spacing w:after="0" w:line="211" w:lineRule="exact"/>
              <w:rPr>
                <w:sz w:val="20"/>
                <w:szCs w:val="20"/>
                <w:color w:val="auto"/>
              </w:rPr>
            </w:pPr>
            <w:r>
              <w:rPr>
                <w:rFonts w:ascii="Calibri" w:cs="Calibri" w:eastAsia="Calibri" w:hAnsi="Calibri"/>
                <w:sz w:val="20"/>
                <w:szCs w:val="20"/>
                <w:color w:val="auto"/>
                <w:w w:val="98"/>
              </w:rPr>
              <w:t>$</w:t>
            </w:r>
          </w:p>
        </w:tc>
        <w:tc>
          <w:tcPr>
            <w:tcW w:w="1220" w:type="dxa"/>
            <w:vAlign w:val="bottom"/>
          </w:tcPr>
          <w:p>
            <w:pPr>
              <w:jc w:val="right"/>
              <w:spacing w:after="0" w:line="211" w:lineRule="exact"/>
              <w:rPr>
                <w:sz w:val="20"/>
                <w:szCs w:val="20"/>
                <w:color w:val="auto"/>
              </w:rPr>
            </w:pPr>
            <w:r>
              <w:rPr>
                <w:rFonts w:ascii="Calibri" w:cs="Calibri" w:eastAsia="Calibri" w:hAnsi="Calibri"/>
                <w:sz w:val="20"/>
                <w:szCs w:val="20"/>
                <w:color w:val="auto"/>
              </w:rPr>
              <w:t>(0.68)</w:t>
            </w:r>
          </w:p>
        </w:tc>
        <w:tc>
          <w:tcPr>
            <w:tcW w:w="100" w:type="dxa"/>
            <w:vAlign w:val="bottom"/>
          </w:tcPr>
          <w:p>
            <w:pPr>
              <w:spacing w:after="0"/>
              <w:rPr>
                <w:sz w:val="18"/>
                <w:szCs w:val="18"/>
                <w:color w:val="auto"/>
              </w:rPr>
            </w:pPr>
          </w:p>
        </w:tc>
        <w:tc>
          <w:tcPr>
            <w:tcW w:w="420" w:type="dxa"/>
            <w:vAlign w:val="bottom"/>
          </w:tcPr>
          <w:p>
            <w:pPr>
              <w:jc w:val="right"/>
              <w:ind w:right="221"/>
              <w:spacing w:after="0" w:line="211" w:lineRule="exact"/>
              <w:rPr>
                <w:sz w:val="20"/>
                <w:szCs w:val="20"/>
                <w:color w:val="auto"/>
              </w:rPr>
            </w:pPr>
            <w:r>
              <w:rPr>
                <w:rFonts w:ascii="Calibri" w:cs="Calibri" w:eastAsia="Calibri" w:hAnsi="Calibri"/>
                <w:sz w:val="20"/>
                <w:szCs w:val="20"/>
                <w:color w:val="auto"/>
                <w:w w:val="78"/>
              </w:rPr>
              <w:t>$</w:t>
            </w:r>
          </w:p>
        </w:tc>
        <w:tc>
          <w:tcPr>
            <w:tcW w:w="1140" w:type="dxa"/>
            <w:vAlign w:val="bottom"/>
          </w:tcPr>
          <w:p>
            <w:pPr>
              <w:jc w:val="right"/>
              <w:spacing w:after="0" w:line="211" w:lineRule="exact"/>
              <w:rPr>
                <w:sz w:val="20"/>
                <w:szCs w:val="20"/>
                <w:color w:val="auto"/>
              </w:rPr>
            </w:pPr>
            <w:r>
              <w:rPr>
                <w:rFonts w:ascii="Calibri" w:cs="Calibri" w:eastAsia="Calibri" w:hAnsi="Calibri"/>
                <w:sz w:val="20"/>
                <w:szCs w:val="20"/>
                <w:color w:val="auto"/>
              </w:rPr>
              <w:t>(16.29)</w:t>
            </w:r>
          </w:p>
        </w:tc>
        <w:tc>
          <w:tcPr>
            <w:tcW w:w="100" w:type="dxa"/>
            <w:vAlign w:val="bottom"/>
          </w:tcPr>
          <w:p>
            <w:pPr>
              <w:spacing w:after="0"/>
              <w:rPr>
                <w:sz w:val="18"/>
                <w:szCs w:val="18"/>
                <w:color w:val="auto"/>
              </w:rPr>
            </w:pPr>
          </w:p>
        </w:tc>
        <w:tc>
          <w:tcPr>
            <w:tcW w:w="340" w:type="dxa"/>
            <w:vAlign w:val="bottom"/>
          </w:tcPr>
          <w:p>
            <w:pPr>
              <w:jc w:val="right"/>
              <w:ind w:right="141"/>
              <w:spacing w:after="0" w:line="211" w:lineRule="exact"/>
              <w:rPr>
                <w:sz w:val="20"/>
                <w:szCs w:val="20"/>
                <w:color w:val="auto"/>
              </w:rPr>
            </w:pPr>
            <w:r>
              <w:rPr>
                <w:rFonts w:ascii="Calibri" w:cs="Calibri" w:eastAsia="Calibri" w:hAnsi="Calibri"/>
                <w:sz w:val="20"/>
                <w:szCs w:val="20"/>
                <w:color w:val="auto"/>
                <w:w w:val="78"/>
              </w:rPr>
              <w:t>$</w:t>
            </w:r>
          </w:p>
        </w:tc>
        <w:tc>
          <w:tcPr>
            <w:tcW w:w="1240" w:type="dxa"/>
            <w:vAlign w:val="bottom"/>
          </w:tcPr>
          <w:p>
            <w:pPr>
              <w:jc w:val="right"/>
              <w:spacing w:after="0" w:line="211" w:lineRule="exact"/>
              <w:rPr>
                <w:sz w:val="20"/>
                <w:szCs w:val="20"/>
                <w:color w:val="auto"/>
              </w:rPr>
            </w:pPr>
            <w:r>
              <w:rPr>
                <w:rFonts w:ascii="Calibri" w:cs="Calibri" w:eastAsia="Calibri" w:hAnsi="Calibri"/>
                <w:sz w:val="20"/>
                <w:szCs w:val="20"/>
                <w:color w:val="auto"/>
              </w:rPr>
              <w:t>(1.24)</w:t>
            </w:r>
          </w:p>
        </w:tc>
        <w:tc>
          <w:tcPr>
            <w:tcW w:w="80" w:type="dxa"/>
            <w:vAlign w:val="bottom"/>
          </w:tcPr>
          <w:p>
            <w:pPr>
              <w:spacing w:after="0"/>
              <w:rPr>
                <w:sz w:val="18"/>
                <w:szCs w:val="18"/>
                <w:color w:val="auto"/>
              </w:rPr>
            </w:pPr>
          </w:p>
        </w:tc>
        <w:tc>
          <w:tcPr>
            <w:tcW w:w="440" w:type="dxa"/>
            <w:vAlign w:val="bottom"/>
          </w:tcPr>
          <w:p>
            <w:pPr>
              <w:jc w:val="right"/>
              <w:ind w:right="221"/>
              <w:spacing w:after="0" w:line="211" w:lineRule="exact"/>
              <w:rPr>
                <w:sz w:val="20"/>
                <w:szCs w:val="20"/>
                <w:color w:val="auto"/>
              </w:rPr>
            </w:pPr>
            <w:r>
              <w:rPr>
                <w:rFonts w:ascii="Calibri" w:cs="Calibri" w:eastAsia="Calibri" w:hAnsi="Calibri"/>
                <w:sz w:val="20"/>
                <w:szCs w:val="20"/>
                <w:color w:val="auto"/>
                <w:w w:val="98"/>
              </w:rPr>
              <w:t>$</w:t>
            </w:r>
          </w:p>
        </w:tc>
        <w:tc>
          <w:tcPr>
            <w:tcW w:w="1140" w:type="dxa"/>
            <w:vAlign w:val="bottom"/>
          </w:tcPr>
          <w:p>
            <w:pPr>
              <w:jc w:val="right"/>
              <w:spacing w:after="0" w:line="211" w:lineRule="exact"/>
              <w:rPr>
                <w:sz w:val="20"/>
                <w:szCs w:val="20"/>
                <w:color w:val="auto"/>
              </w:rPr>
            </w:pPr>
            <w:r>
              <w:rPr>
                <w:rFonts w:ascii="Calibri" w:cs="Calibri" w:eastAsia="Calibri" w:hAnsi="Calibri"/>
                <w:sz w:val="20"/>
                <w:szCs w:val="20"/>
                <w:color w:val="auto"/>
              </w:rPr>
              <w:t>(24.93)</w:t>
            </w:r>
          </w:p>
        </w:tc>
      </w:tr>
      <w:tr>
        <w:trPr>
          <w:trHeight w:val="60"/>
        </w:trPr>
        <w:tc>
          <w:tcPr>
            <w:tcW w:w="4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37"/>
        </w:trPr>
        <w:tc>
          <w:tcPr>
            <w:tcW w:w="4300" w:type="dxa"/>
            <w:vAlign w:val="bottom"/>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Weighted-average common shares outstanding,</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7"/>
        </w:trPr>
        <w:tc>
          <w:tcPr>
            <w:tcW w:w="4300" w:type="dxa"/>
            <w:vAlign w:val="bottom"/>
            <w:shd w:val="clear" w:color="auto" w:fill="CCEEFF"/>
          </w:tcPr>
          <w:p>
            <w:pPr>
              <w:ind w:left="20"/>
              <w:spacing w:after="0"/>
              <w:rPr>
                <w:sz w:val="20"/>
                <w:szCs w:val="20"/>
                <w:color w:val="auto"/>
              </w:rPr>
            </w:pPr>
            <w:r>
              <w:rPr>
                <w:rFonts w:ascii="Calibri" w:cs="Calibri" w:eastAsia="Calibri" w:hAnsi="Calibri"/>
                <w:sz w:val="20"/>
                <w:szCs w:val="20"/>
                <w:color w:val="auto"/>
              </w:rPr>
              <w:t>basic and diluted</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25,724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990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24,908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948</w:t>
            </w:r>
          </w:p>
        </w:tc>
      </w:tr>
      <w:tr>
        <w:trPr>
          <w:trHeight w:val="60"/>
        </w:trPr>
        <w:tc>
          <w:tcPr>
            <w:tcW w:w="43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b w:val="1"/>
          <w:bCs w:val="1"/>
          <w:color w:val="auto"/>
        </w:rPr>
        <w:t>Tourmaline Bio, Inc.</w:t>
      </w:r>
    </w:p>
    <w:p>
      <w:pPr>
        <w:jc w:val="center"/>
        <w:ind w:right="20"/>
        <w:spacing w:after="0" w:line="218" w:lineRule="auto"/>
        <w:rPr>
          <w:sz w:val="20"/>
          <w:szCs w:val="20"/>
          <w:color w:val="auto"/>
        </w:rPr>
      </w:pPr>
      <w:r>
        <w:rPr>
          <w:rFonts w:ascii="Calibri" w:cs="Calibri" w:eastAsia="Calibri" w:hAnsi="Calibri"/>
          <w:sz w:val="22"/>
          <w:szCs w:val="22"/>
          <w:b w:val="1"/>
          <w:bCs w:val="1"/>
          <w:color w:val="auto"/>
        </w:rPr>
        <w:t>Selected Condensed Consolidated Balance Sheet Data (unaudited)</w:t>
      </w:r>
    </w:p>
    <w:p>
      <w:pPr>
        <w:jc w:val="center"/>
        <w:ind w:right="20"/>
        <w:spacing w:after="0" w:line="218" w:lineRule="auto"/>
        <w:rPr>
          <w:sz w:val="20"/>
          <w:szCs w:val="20"/>
          <w:color w:val="auto"/>
        </w:rPr>
      </w:pPr>
      <w:r>
        <w:rPr>
          <w:rFonts w:ascii="Calibri" w:cs="Calibri" w:eastAsia="Calibri" w:hAnsi="Calibri"/>
          <w:sz w:val="22"/>
          <w:szCs w:val="22"/>
          <w:b w:val="1"/>
          <w:bCs w:val="1"/>
          <w:color w:val="auto"/>
        </w:rPr>
        <w:t>(amounts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60" w:type="dxa"/>
            <w:vAlign w:val="bottom"/>
          </w:tcPr>
          <w:p>
            <w:pPr>
              <w:spacing w:after="0"/>
              <w:rPr>
                <w:sz w:val="21"/>
                <w:szCs w:val="21"/>
                <w:color w:val="auto"/>
              </w:rPr>
            </w:pPr>
          </w:p>
        </w:tc>
        <w:tc>
          <w:tcPr>
            <w:tcW w:w="2220" w:type="dxa"/>
            <w:vAlign w:val="bottom"/>
          </w:tcPr>
          <w:p>
            <w:pPr>
              <w:jc w:val="right"/>
              <w:ind w:right="181"/>
              <w:spacing w:after="0"/>
              <w:rPr>
                <w:sz w:val="20"/>
                <w:szCs w:val="20"/>
                <w:color w:val="auto"/>
              </w:rPr>
            </w:pPr>
            <w:r>
              <w:rPr>
                <w:rFonts w:ascii="Calibri" w:cs="Calibri" w:eastAsia="Calibri" w:hAnsi="Calibri"/>
                <w:sz w:val="20"/>
                <w:szCs w:val="20"/>
                <w:b w:val="1"/>
                <w:bCs w:val="1"/>
                <w:color w:val="auto"/>
              </w:rPr>
              <w:t>June 30,</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60" w:type="dxa"/>
            <w:vAlign w:val="bottom"/>
          </w:tcPr>
          <w:p>
            <w:pPr>
              <w:jc w:val="right"/>
              <w:ind w:right="941"/>
              <w:spacing w:after="0"/>
              <w:rPr>
                <w:sz w:val="20"/>
                <w:szCs w:val="20"/>
                <w:color w:val="auto"/>
              </w:rPr>
            </w:pPr>
            <w:r>
              <w:rPr>
                <w:rFonts w:ascii="Calibri" w:cs="Calibri" w:eastAsia="Calibri" w:hAnsi="Calibri"/>
                <w:sz w:val="20"/>
                <w:szCs w:val="20"/>
                <w:b w:val="1"/>
                <w:bCs w:val="1"/>
                <w:color w:val="auto"/>
              </w:rPr>
              <w:t>December 31,</w:t>
            </w:r>
          </w:p>
        </w:tc>
      </w:tr>
      <w:tr>
        <w:trPr>
          <w:trHeight w:val="297"/>
        </w:trPr>
        <w:tc>
          <w:tcPr>
            <w:tcW w:w="4360" w:type="dxa"/>
            <w:vAlign w:val="bottom"/>
          </w:tcPr>
          <w:p>
            <w:pPr>
              <w:spacing w:after="0"/>
              <w:rPr>
                <w:sz w:val="24"/>
                <w:szCs w:val="24"/>
                <w:color w:val="auto"/>
              </w:rPr>
            </w:pPr>
          </w:p>
        </w:tc>
        <w:tc>
          <w:tcPr>
            <w:tcW w:w="2220" w:type="dxa"/>
            <w:vAlign w:val="bottom"/>
          </w:tcPr>
          <w:p>
            <w:pPr>
              <w:jc w:val="right"/>
              <w:ind w:right="321"/>
              <w:spacing w:after="0"/>
              <w:rPr>
                <w:sz w:val="20"/>
                <w:szCs w:val="20"/>
                <w:color w:val="auto"/>
              </w:rPr>
            </w:pPr>
            <w:r>
              <w:rPr>
                <w:rFonts w:ascii="Calibri" w:cs="Calibri" w:eastAsia="Calibri" w:hAnsi="Calibri"/>
                <w:sz w:val="20"/>
                <w:szCs w:val="20"/>
                <w:b w:val="1"/>
                <w:bCs w:val="1"/>
                <w:color w:val="auto"/>
              </w:rPr>
              <w:t>2024</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jc w:val="right"/>
              <w:ind w:right="1321"/>
              <w:spacing w:after="0"/>
              <w:rPr>
                <w:sz w:val="20"/>
                <w:szCs w:val="20"/>
                <w:color w:val="auto"/>
              </w:rPr>
            </w:pPr>
            <w:r>
              <w:rPr>
                <w:rFonts w:ascii="Calibri" w:cs="Calibri" w:eastAsia="Calibri" w:hAnsi="Calibri"/>
                <w:sz w:val="20"/>
                <w:szCs w:val="20"/>
                <w:b w:val="1"/>
                <w:bCs w:val="1"/>
                <w:color w:val="auto"/>
              </w:rPr>
              <w:t>2023</w:t>
            </w:r>
          </w:p>
        </w:tc>
      </w:tr>
      <w:tr>
        <w:trPr>
          <w:trHeight w:val="60"/>
        </w:trPr>
        <w:tc>
          <w:tcPr>
            <w:tcW w:w="4360" w:type="dxa"/>
            <w:vAlign w:val="bottom"/>
            <w:tcBorders>
              <w:bottom w:val="single" w:sz="8" w:color="CCEEFF"/>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r>
      <w:tr>
        <w:trPr>
          <w:trHeight w:val="270"/>
        </w:trPr>
        <w:tc>
          <w:tcPr>
            <w:tcW w:w="4360" w:type="dxa"/>
            <w:vAlign w:val="bottom"/>
            <w:tcBorders>
              <w:bottom w:val="single" w:sz="8" w:color="CCEEFF"/>
            </w:tcBorders>
            <w:shd w:val="clear" w:color="auto" w:fill="CCEEFF"/>
          </w:tcPr>
          <w:p>
            <w:pPr>
              <w:ind w:left="20"/>
              <w:spacing w:after="0" w:line="230" w:lineRule="exact"/>
              <w:rPr>
                <w:sz w:val="20"/>
                <w:szCs w:val="20"/>
                <w:color w:val="auto"/>
              </w:rPr>
            </w:pPr>
            <w:r>
              <w:rPr>
                <w:rFonts w:ascii="Calibri" w:cs="Calibri" w:eastAsia="Calibri" w:hAnsi="Calibri"/>
                <w:sz w:val="20"/>
                <w:szCs w:val="20"/>
                <w:color w:val="auto"/>
              </w:rPr>
              <w:t>Cash, cash equivalents and investments</w:t>
            </w:r>
          </w:p>
        </w:tc>
        <w:tc>
          <w:tcPr>
            <w:tcW w:w="2220" w:type="dxa"/>
            <w:vAlign w:val="bottom"/>
            <w:tcBorders>
              <w:bottom w:val="single" w:sz="8" w:color="CCEEFF"/>
            </w:tcBorders>
            <w:shd w:val="clear" w:color="auto" w:fill="CCEEFF"/>
          </w:tcPr>
          <w:p>
            <w:pPr>
              <w:jc w:val="right"/>
              <w:ind w:right="2021"/>
              <w:spacing w:after="0" w:line="230" w:lineRule="exact"/>
              <w:rPr>
                <w:sz w:val="20"/>
                <w:szCs w:val="20"/>
                <w:color w:val="auto"/>
              </w:rPr>
            </w:pPr>
            <w:r>
              <w:rPr>
                <w:rFonts w:ascii="Calibri" w:cs="Calibri" w:eastAsia="Calibri" w:hAnsi="Calibri"/>
                <w:sz w:val="20"/>
                <w:szCs w:val="20"/>
                <w:color w:val="auto"/>
                <w:w w:val="78"/>
              </w:rPr>
              <w:t>$</w:t>
            </w:r>
          </w:p>
        </w:tc>
        <w:tc>
          <w:tcPr>
            <w:tcW w:w="1020" w:type="dxa"/>
            <w:vAlign w:val="bottom"/>
            <w:tcBorders>
              <w:bottom w:val="single" w:sz="8" w:color="CCEEFF"/>
            </w:tcBorders>
            <w:shd w:val="clear" w:color="auto" w:fill="CCEEFF"/>
          </w:tcPr>
          <w:p>
            <w:pPr>
              <w:jc w:val="right"/>
              <w:ind w:right="1"/>
              <w:spacing w:after="0" w:line="230" w:lineRule="exact"/>
              <w:rPr>
                <w:sz w:val="20"/>
                <w:szCs w:val="20"/>
                <w:color w:val="auto"/>
              </w:rPr>
            </w:pPr>
            <w:r>
              <w:rPr>
                <w:rFonts w:ascii="Calibri" w:cs="Calibri" w:eastAsia="Calibri" w:hAnsi="Calibri"/>
                <w:sz w:val="20"/>
                <w:szCs w:val="20"/>
                <w:color w:val="auto"/>
              </w:rPr>
              <w:t>334,411</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1"/>
              <w:spacing w:after="0" w:line="230" w:lineRule="exact"/>
              <w:rPr>
                <w:sz w:val="20"/>
                <w:szCs w:val="20"/>
                <w:color w:val="auto"/>
              </w:rPr>
            </w:pPr>
            <w:r>
              <w:rPr>
                <w:rFonts w:ascii="Calibri" w:cs="Calibri" w:eastAsia="Calibri" w:hAnsi="Calibri"/>
                <w:sz w:val="20"/>
                <w:szCs w:val="20"/>
                <w:color w:val="auto"/>
                <w:w w:val="98"/>
              </w:rPr>
              <w:t>$</w:t>
            </w:r>
          </w:p>
        </w:tc>
        <w:tc>
          <w:tcPr>
            <w:tcW w:w="266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202,951</w:t>
            </w:r>
          </w:p>
        </w:tc>
      </w:tr>
      <w:tr>
        <w:trPr>
          <w:trHeight w:val="237"/>
        </w:trPr>
        <w:tc>
          <w:tcPr>
            <w:tcW w:w="4360" w:type="dxa"/>
            <w:vAlign w:val="bottom"/>
          </w:tcPr>
          <w:p>
            <w:pPr>
              <w:ind w:left="20"/>
              <w:spacing w:after="0" w:line="236" w:lineRule="exact"/>
              <w:rPr>
                <w:sz w:val="20"/>
                <w:szCs w:val="20"/>
                <w:color w:val="auto"/>
              </w:rPr>
            </w:pPr>
            <w:r>
              <w:rPr>
                <w:rFonts w:ascii="Calibri" w:cs="Calibri" w:eastAsia="Calibri" w:hAnsi="Calibri"/>
                <w:sz w:val="20"/>
                <w:szCs w:val="20"/>
                <w:color w:val="auto"/>
              </w:rPr>
              <w:t>Working capital</w:t>
            </w:r>
          </w:p>
        </w:tc>
        <w:tc>
          <w:tcPr>
            <w:tcW w:w="2220" w:type="dxa"/>
            <w:vAlign w:val="bottom"/>
          </w:tcPr>
          <w:p>
            <w:pPr>
              <w:jc w:val="right"/>
              <w:ind w:right="2021"/>
              <w:spacing w:after="0" w:line="236" w:lineRule="exact"/>
              <w:rPr>
                <w:sz w:val="20"/>
                <w:szCs w:val="20"/>
                <w:color w:val="auto"/>
              </w:rPr>
            </w:pPr>
            <w:r>
              <w:rPr>
                <w:rFonts w:ascii="Calibri" w:cs="Calibri" w:eastAsia="Calibri" w:hAnsi="Calibri"/>
                <w:sz w:val="20"/>
                <w:szCs w:val="20"/>
                <w:color w:val="auto"/>
                <w:w w:val="78"/>
              </w:rPr>
              <w:t>$</w:t>
            </w:r>
          </w:p>
        </w:tc>
        <w:tc>
          <w:tcPr>
            <w:tcW w:w="102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291,766</w:t>
            </w:r>
          </w:p>
        </w:tc>
        <w:tc>
          <w:tcPr>
            <w:tcW w:w="80" w:type="dxa"/>
            <w:vAlign w:val="bottom"/>
          </w:tcPr>
          <w:p>
            <w:pPr>
              <w:spacing w:after="0"/>
              <w:rPr>
                <w:sz w:val="20"/>
                <w:szCs w:val="20"/>
                <w:color w:val="auto"/>
              </w:rPr>
            </w:pPr>
          </w:p>
        </w:tc>
        <w:tc>
          <w:tcPr>
            <w:tcW w:w="560" w:type="dxa"/>
            <w:vAlign w:val="bottom"/>
          </w:tcPr>
          <w:p>
            <w:pPr>
              <w:jc w:val="right"/>
              <w:ind w:right="341"/>
              <w:spacing w:after="0" w:line="236" w:lineRule="exact"/>
              <w:rPr>
                <w:sz w:val="20"/>
                <w:szCs w:val="20"/>
                <w:color w:val="auto"/>
              </w:rPr>
            </w:pPr>
            <w:r>
              <w:rPr>
                <w:rFonts w:ascii="Calibri" w:cs="Calibri" w:eastAsia="Calibri" w:hAnsi="Calibri"/>
                <w:sz w:val="20"/>
                <w:szCs w:val="20"/>
                <w:color w:val="auto"/>
                <w:w w:val="98"/>
              </w:rPr>
              <w:t>$</w:t>
            </w:r>
          </w:p>
        </w:tc>
        <w:tc>
          <w:tcPr>
            <w:tcW w:w="2660" w:type="dxa"/>
            <w:vAlign w:val="bottom"/>
          </w:tcPr>
          <w:p>
            <w:pPr>
              <w:jc w:val="right"/>
              <w:spacing w:after="0" w:line="236" w:lineRule="exact"/>
              <w:rPr>
                <w:sz w:val="20"/>
                <w:szCs w:val="20"/>
                <w:color w:val="auto"/>
              </w:rPr>
            </w:pPr>
            <w:r>
              <w:rPr>
                <w:rFonts w:ascii="Calibri" w:cs="Calibri" w:eastAsia="Calibri" w:hAnsi="Calibri"/>
                <w:sz w:val="20"/>
                <w:szCs w:val="20"/>
                <w:color w:val="auto"/>
              </w:rPr>
              <w:t>203,872</w:t>
            </w:r>
          </w:p>
        </w:tc>
      </w:tr>
      <w:tr>
        <w:trPr>
          <w:trHeight w:val="60"/>
        </w:trPr>
        <w:tc>
          <w:tcPr>
            <w:tcW w:w="43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60" w:type="dxa"/>
            <w:vAlign w:val="bottom"/>
          </w:tcPr>
          <w:p>
            <w:pPr>
              <w:spacing w:after="0"/>
              <w:rPr>
                <w:sz w:val="5"/>
                <w:szCs w:val="5"/>
                <w:color w:val="auto"/>
              </w:rPr>
            </w:pPr>
          </w:p>
        </w:tc>
      </w:tr>
      <w:tr>
        <w:trPr>
          <w:trHeight w:val="237"/>
        </w:trPr>
        <w:tc>
          <w:tcPr>
            <w:tcW w:w="4360" w:type="dxa"/>
            <w:vAlign w:val="bottom"/>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Total assets</w:t>
            </w:r>
          </w:p>
        </w:tc>
        <w:tc>
          <w:tcPr>
            <w:tcW w:w="2220" w:type="dxa"/>
            <w:vAlign w:val="bottom"/>
            <w:shd w:val="clear" w:color="auto" w:fill="CCEEFF"/>
          </w:tcPr>
          <w:p>
            <w:pPr>
              <w:jc w:val="right"/>
              <w:ind w:right="2021"/>
              <w:spacing w:after="0" w:line="236" w:lineRule="exact"/>
              <w:rPr>
                <w:sz w:val="20"/>
                <w:szCs w:val="20"/>
                <w:color w:val="auto"/>
              </w:rPr>
            </w:pPr>
            <w:r>
              <w:rPr>
                <w:rFonts w:ascii="Calibri" w:cs="Calibri" w:eastAsia="Calibri" w:hAnsi="Calibri"/>
                <w:sz w:val="20"/>
                <w:szCs w:val="20"/>
                <w:color w:val="auto"/>
                <w:w w:val="78"/>
              </w:rPr>
              <w:t>$</w:t>
            </w:r>
          </w:p>
        </w:tc>
        <w:tc>
          <w:tcPr>
            <w:tcW w:w="1020" w:type="dxa"/>
            <w:vAlign w:val="bottom"/>
            <w:shd w:val="clear" w:color="auto" w:fill="CCEEFF"/>
          </w:tcPr>
          <w:p>
            <w:pPr>
              <w:jc w:val="right"/>
              <w:ind w:right="1"/>
              <w:spacing w:after="0" w:line="236" w:lineRule="exact"/>
              <w:rPr>
                <w:sz w:val="20"/>
                <w:szCs w:val="20"/>
                <w:color w:val="auto"/>
              </w:rPr>
            </w:pPr>
            <w:r>
              <w:rPr>
                <w:rFonts w:ascii="Calibri" w:cs="Calibri" w:eastAsia="Calibri" w:hAnsi="Calibri"/>
                <w:sz w:val="20"/>
                <w:szCs w:val="20"/>
                <w:color w:val="auto"/>
              </w:rPr>
              <w:t>344,791</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41"/>
              <w:spacing w:after="0" w:line="236" w:lineRule="exact"/>
              <w:rPr>
                <w:sz w:val="20"/>
                <w:szCs w:val="20"/>
                <w:color w:val="auto"/>
              </w:rPr>
            </w:pPr>
            <w:r>
              <w:rPr>
                <w:rFonts w:ascii="Calibri" w:cs="Calibri" w:eastAsia="Calibri" w:hAnsi="Calibri"/>
                <w:sz w:val="20"/>
                <w:szCs w:val="20"/>
                <w:color w:val="auto"/>
                <w:w w:val="98"/>
              </w:rPr>
              <w:t>$</w:t>
            </w:r>
          </w:p>
        </w:tc>
        <w:tc>
          <w:tcPr>
            <w:tcW w:w="2660" w:type="dxa"/>
            <w:vAlign w:val="bottom"/>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210,295</w:t>
            </w:r>
          </w:p>
        </w:tc>
      </w:tr>
      <w:tr>
        <w:trPr>
          <w:trHeight w:val="60"/>
        </w:trPr>
        <w:tc>
          <w:tcPr>
            <w:tcW w:w="436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660" w:type="dxa"/>
            <w:vAlign w:val="bottom"/>
            <w:shd w:val="clear" w:color="auto" w:fill="CCEEFF"/>
          </w:tcPr>
          <w:p>
            <w:pPr>
              <w:spacing w:after="0"/>
              <w:rPr>
                <w:sz w:val="5"/>
                <w:szCs w:val="5"/>
                <w:color w:val="auto"/>
              </w:rPr>
            </w:pPr>
          </w:p>
        </w:tc>
      </w:tr>
      <w:tr>
        <w:trPr>
          <w:trHeight w:val="237"/>
        </w:trPr>
        <w:tc>
          <w:tcPr>
            <w:tcW w:w="4360" w:type="dxa"/>
            <w:vAlign w:val="bottom"/>
          </w:tcPr>
          <w:p>
            <w:pPr>
              <w:ind w:left="20"/>
              <w:spacing w:after="0" w:line="236" w:lineRule="exact"/>
              <w:rPr>
                <w:sz w:val="20"/>
                <w:szCs w:val="20"/>
                <w:color w:val="auto"/>
              </w:rPr>
            </w:pPr>
            <w:r>
              <w:rPr>
                <w:rFonts w:ascii="Calibri" w:cs="Calibri" w:eastAsia="Calibri" w:hAnsi="Calibri"/>
                <w:sz w:val="20"/>
                <w:szCs w:val="20"/>
                <w:color w:val="auto"/>
              </w:rPr>
              <w:t>Total stockholders’ equity</w:t>
            </w:r>
          </w:p>
        </w:tc>
        <w:tc>
          <w:tcPr>
            <w:tcW w:w="2220" w:type="dxa"/>
            <w:vAlign w:val="bottom"/>
          </w:tcPr>
          <w:p>
            <w:pPr>
              <w:jc w:val="right"/>
              <w:ind w:right="2021"/>
              <w:spacing w:after="0" w:line="236" w:lineRule="exact"/>
              <w:rPr>
                <w:sz w:val="20"/>
                <w:szCs w:val="20"/>
                <w:color w:val="auto"/>
              </w:rPr>
            </w:pPr>
            <w:r>
              <w:rPr>
                <w:rFonts w:ascii="Calibri" w:cs="Calibri" w:eastAsia="Calibri" w:hAnsi="Calibri"/>
                <w:sz w:val="20"/>
                <w:szCs w:val="20"/>
                <w:color w:val="auto"/>
                <w:w w:val="78"/>
              </w:rPr>
              <w:t>$</w:t>
            </w:r>
          </w:p>
        </w:tc>
        <w:tc>
          <w:tcPr>
            <w:tcW w:w="102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338,282</w:t>
            </w:r>
          </w:p>
        </w:tc>
        <w:tc>
          <w:tcPr>
            <w:tcW w:w="80" w:type="dxa"/>
            <w:vAlign w:val="bottom"/>
          </w:tcPr>
          <w:p>
            <w:pPr>
              <w:spacing w:after="0"/>
              <w:rPr>
                <w:sz w:val="20"/>
                <w:szCs w:val="20"/>
                <w:color w:val="auto"/>
              </w:rPr>
            </w:pPr>
          </w:p>
        </w:tc>
        <w:tc>
          <w:tcPr>
            <w:tcW w:w="560" w:type="dxa"/>
            <w:vAlign w:val="bottom"/>
          </w:tcPr>
          <w:p>
            <w:pPr>
              <w:jc w:val="right"/>
              <w:ind w:right="341"/>
              <w:spacing w:after="0" w:line="236" w:lineRule="exact"/>
              <w:rPr>
                <w:sz w:val="20"/>
                <w:szCs w:val="20"/>
                <w:color w:val="auto"/>
              </w:rPr>
            </w:pPr>
            <w:r>
              <w:rPr>
                <w:rFonts w:ascii="Calibri" w:cs="Calibri" w:eastAsia="Calibri" w:hAnsi="Calibri"/>
                <w:sz w:val="20"/>
                <w:szCs w:val="20"/>
                <w:color w:val="auto"/>
                <w:w w:val="98"/>
              </w:rPr>
              <w:t>$</w:t>
            </w:r>
          </w:p>
        </w:tc>
        <w:tc>
          <w:tcPr>
            <w:tcW w:w="2660" w:type="dxa"/>
            <w:vAlign w:val="bottom"/>
          </w:tcPr>
          <w:p>
            <w:pPr>
              <w:jc w:val="right"/>
              <w:spacing w:after="0" w:line="236" w:lineRule="exact"/>
              <w:rPr>
                <w:sz w:val="20"/>
                <w:szCs w:val="20"/>
                <w:color w:val="auto"/>
              </w:rPr>
            </w:pPr>
            <w:r>
              <w:rPr>
                <w:rFonts w:ascii="Calibri" w:cs="Calibri" w:eastAsia="Calibri" w:hAnsi="Calibri"/>
                <w:sz w:val="20"/>
                <w:szCs w:val="20"/>
                <w:color w:val="auto"/>
              </w:rPr>
              <w:t>205,042</w:t>
            </w:r>
          </w:p>
        </w:tc>
      </w:tr>
    </w:tbl>
    <w:p>
      <w:pPr>
        <w:sectPr>
          <w:pgSz w:w="11900" w:h="16838" w:orient="portrait"/>
          <w:cols w:equalWidth="0" w:num="1">
            <w:col w:w="10900"/>
          </w:cols>
          <w:pgMar w:left="500" w:top="1383" w:right="49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t>Media Contact:</w:t>
      </w:r>
    </w:p>
    <w:p>
      <w:pPr>
        <w:spacing w:after="0" w:line="212" w:lineRule="auto"/>
        <w:rPr>
          <w:sz w:val="20"/>
          <w:szCs w:val="20"/>
          <w:color w:val="auto"/>
        </w:rPr>
      </w:pPr>
      <w:r>
        <w:rPr>
          <w:rFonts w:ascii="Calibri" w:cs="Calibri" w:eastAsia="Calibri" w:hAnsi="Calibri"/>
          <w:sz w:val="20"/>
          <w:szCs w:val="20"/>
          <w:color w:val="auto"/>
        </w:rPr>
        <w:t>Scient PR</w:t>
      </w:r>
    </w:p>
    <w:p>
      <w:pPr>
        <w:spacing w:after="0" w:line="225" w:lineRule="auto"/>
        <w:rPr>
          <w:sz w:val="20"/>
          <w:szCs w:val="20"/>
          <w:color w:val="auto"/>
        </w:rPr>
      </w:pPr>
      <w:r>
        <w:rPr>
          <w:rFonts w:ascii="Calibri" w:cs="Calibri" w:eastAsia="Calibri" w:hAnsi="Calibri"/>
          <w:sz w:val="20"/>
          <w:szCs w:val="20"/>
          <w:color w:val="auto"/>
        </w:rPr>
        <w:t>Sarah Mishek</w:t>
      </w:r>
    </w:p>
    <w:p>
      <w:pPr>
        <w:spacing w:after="0" w:line="213" w:lineRule="auto"/>
        <w:rPr>
          <w:sz w:val="20"/>
          <w:szCs w:val="20"/>
          <w:color w:val="auto"/>
        </w:rPr>
      </w:pPr>
      <w:r>
        <w:rPr>
          <w:rFonts w:ascii="Calibri" w:cs="Calibri" w:eastAsia="Calibri" w:hAnsi="Calibri"/>
          <w:sz w:val="20"/>
          <w:szCs w:val="20"/>
          <w:u w:val="single" w:color="auto"/>
          <w:color w:val="0000FF"/>
        </w:rPr>
        <w:t>SMishek@ScientPR.com</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212" w:lineRule="auto"/>
        <w:rPr>
          <w:sz w:val="20"/>
          <w:szCs w:val="20"/>
          <w:color w:val="auto"/>
        </w:rPr>
      </w:pPr>
      <w:r>
        <w:rPr>
          <w:rFonts w:ascii="Calibri" w:cs="Calibri" w:eastAsia="Calibri" w:hAnsi="Calibri"/>
          <w:sz w:val="20"/>
          <w:szCs w:val="20"/>
          <w:color w:val="auto"/>
        </w:rPr>
        <w:t>Meru Advisors</w:t>
      </w:r>
    </w:p>
    <w:p>
      <w:pPr>
        <w:spacing w:after="0" w:line="225" w:lineRule="auto"/>
        <w:rPr>
          <w:sz w:val="20"/>
          <w:szCs w:val="20"/>
          <w:color w:val="auto"/>
        </w:rPr>
      </w:pPr>
      <w:r>
        <w:rPr>
          <w:rFonts w:ascii="Calibri" w:cs="Calibri" w:eastAsia="Calibri" w:hAnsi="Calibri"/>
          <w:sz w:val="20"/>
          <w:szCs w:val="20"/>
          <w:color w:val="auto"/>
        </w:rPr>
        <w:t>Lee M. Stern</w:t>
      </w:r>
    </w:p>
    <w:p>
      <w:pPr>
        <w:spacing w:after="0" w:line="213" w:lineRule="auto"/>
        <w:rPr>
          <w:sz w:val="20"/>
          <w:szCs w:val="20"/>
          <w:color w:val="auto"/>
        </w:rPr>
      </w:pPr>
      <w:r>
        <w:rPr>
          <w:rFonts w:ascii="Calibri" w:cs="Calibri" w:eastAsia="Calibri" w:hAnsi="Calibri"/>
          <w:sz w:val="20"/>
          <w:szCs w:val="20"/>
          <w:u w:val="single" w:color="auto"/>
          <w:color w:val="0000FF"/>
        </w:rPr>
        <w:t>lstern@meruadvisors.com</w:t>
      </w:r>
    </w:p>
    <w:sectPr>
      <w:pgSz w:w="11900" w:h="16838" w:orient="portrait"/>
      <w:cols w:equalWidth="0" w:num="1">
        <w:col w:w="10139"/>
      </w:cols>
      <w:pgMar w:left="320" w:top="13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2024-08-08T06:46:26Z</dcterms:created>
  <dcterms:modified xsi:type="dcterms:W3CDTF">2024-08-08T06:46:26Z</dcterms:modified>
</cp:coreProperties>
</file>