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280" w:type="dxa"/>
        <w:tblCellMar>
          <w:top w:w="0" w:type="dxa"/>
          <w:left w:w="0" w:type="dxa"/>
          <w:bottom w:w="0" w:type="dxa"/>
          <w:right w:w="0" w:type="dxa"/>
        </w:tblCellMar>
      </w:tblPr>
      <w:tr>
        <w:trPr>
          <w:trHeight w:val="238"/>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001-40384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83-2377352</w:t>
            </w:r>
          </w:p>
        </w:tc>
      </w:tr>
      <w:tr>
        <w:trPr>
          <w:trHeight w:val="221"/>
        </w:trPr>
        <w:tc>
          <w:tcPr>
            <w:tcW w:w="3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3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7"/>
              </w:rPr>
              <w:t>27 West 24</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Street Suite 702,</w:t>
            </w:r>
          </w:p>
        </w:tc>
        <w:tc>
          <w:tcPr>
            <w:tcW w:w="32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8"/>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220" w:type="dxa"/>
            <w:vAlign w:val="bottom"/>
          </w:tcPr>
          <w:p>
            <w:pPr>
              <w:spacing w:after="0"/>
              <w:rPr>
                <w:sz w:val="20"/>
                <w:szCs w:val="20"/>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243"/>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20" w:type="dxa"/>
            <w:vAlign w:val="bottom"/>
          </w:tcPr>
          <w:p>
            <w:pPr>
              <w:spacing w:after="0"/>
              <w:rPr>
                <w:sz w:val="21"/>
                <w:szCs w:val="21"/>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481-9832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TRML</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completion of the previously announced Merger (as defined below) pursuant to the Agreement and Plan of Merger, dated as of September 8,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Tourmaline 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Torino Merger Sub Inc., a Delaware corporation and an indirect wholly owned subsidiary of Parent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terms and subject to the conditions thereof, on September 29, 2025, Purchaser commenced a cash tender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to acquire all of the outstanding shares of common stock of the Company,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price of $48.00 per Share in cash, without interest and subject to any applicable withholding of taxes (the “</w:t>
      </w:r>
      <w:r>
        <w:rPr>
          <w:rFonts w:ascii="Times New Roman" w:cs="Times New Roman" w:eastAsia="Times New Roman" w:hAnsi="Times New Roman"/>
          <w:sz w:val="18"/>
          <w:szCs w:val="18"/>
          <w:b w:val="1"/>
          <w:bCs w:val="1"/>
          <w:i w:val="1"/>
          <w:iCs w:val="1"/>
          <w:color w:val="auto"/>
        </w:rPr>
        <w:t>Offer Price</w:t>
      </w:r>
      <w:r>
        <w:rPr>
          <w:rFonts w:ascii="Times New Roman" w:cs="Times New Roman" w:eastAsia="Times New Roman" w:hAnsi="Times New Roman"/>
          <w:sz w:val="18"/>
          <w:szCs w:val="18"/>
          <w:color w:val="auto"/>
        </w:rPr>
        <w:t>”) and subject to the satisfaction or waiver, to the extent permitted under applicable legal requirements, of certain conditions set forth in the Merger Agreement.</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Offer expired at one minute following 11:59 p.m., Eastern Time, on October 27, 2025 (such date and time,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and was not extended. Computershare Trust Company, N.A., in its capacity as depositary for the Offer, advised Purchaser that, as of the Expiration Time, 24,030,382 Shares had been validly tendered and not validly withdrawn pursuant to the Offer, representing approximately 92.94% of the then outstanding Shares. Accordingly, the Minimum Condition (as defined in the Merger Agreement) has been satisfied. Purchaser has accepted for payment all Shares that were validly tendered and not validly withdrawn pursuant to the Offer prior to the Expiration Time and payment for such Shares has been or will be made promptly in accordance with the terms of the Offer.</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completion of the Offer and the satisfaction or waiver of certain conditions set forth in the Merger Agreement, on October 28, 2025, Parent, Purchaser and the Company, pursuant to Section 251(h) of the General Corporation Law of the State of Delaware and without a vote of the Company’s stockholders, effected the merger of Purchaser with and into the Company pursuant to the Merger Agreement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separate corporate existence of Purchaser ceasing and the Company surviving the Merger under the name “Tourmaline Bio, Inc.” as an indirect wholly owned subsidiary of Parent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the Merger and the transactions contemplated thereby contained in this Introductory Note, including the Merger, does not purport to be complete and is subject to and qualified in its entirety by reference to the Merger Agreement, which was filed as Exhibit 2.1 of the Current Report on Form 8-K filed by the Company with the SEC on September 9, 2025,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1.02.</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Merger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on October 15, 2025, the Company provided written notice to Leerink Partners LLC (“</w:t>
      </w:r>
      <w:r>
        <w:rPr>
          <w:rFonts w:ascii="Times New Roman" w:cs="Times New Roman" w:eastAsia="Times New Roman" w:hAnsi="Times New Roman"/>
          <w:sz w:val="18"/>
          <w:szCs w:val="18"/>
          <w:b w:val="1"/>
          <w:bCs w:val="1"/>
          <w:i w:val="1"/>
          <w:iCs w:val="1"/>
          <w:color w:val="auto"/>
        </w:rPr>
        <w:t>Leerink</w:t>
      </w:r>
      <w:r>
        <w:rPr>
          <w:rFonts w:ascii="Times New Roman" w:cs="Times New Roman" w:eastAsia="Times New Roman" w:hAnsi="Times New Roman"/>
          <w:sz w:val="18"/>
          <w:szCs w:val="18"/>
          <w:color w:val="auto"/>
        </w:rPr>
        <w:t>”), as sales agent, of its election to terminate the Sales Agreement, dated November 7, 2024, by and between the Company and Leerink (the “</w:t>
      </w:r>
      <w:r>
        <w:rPr>
          <w:rFonts w:ascii="Times New Roman" w:cs="Times New Roman" w:eastAsia="Times New Roman" w:hAnsi="Times New Roman"/>
          <w:sz w:val="18"/>
          <w:szCs w:val="18"/>
          <w:b w:val="1"/>
          <w:bCs w:val="1"/>
          <w:i w:val="1"/>
          <w:iCs w:val="1"/>
          <w:color w:val="auto"/>
        </w:rPr>
        <w:t>ATM Sales Agreement</w:t>
      </w:r>
      <w:r>
        <w:rPr>
          <w:rFonts w:ascii="Times New Roman" w:cs="Times New Roman" w:eastAsia="Times New Roman" w:hAnsi="Times New Roman"/>
          <w:sz w:val="18"/>
          <w:szCs w:val="18"/>
          <w:color w:val="auto"/>
        </w:rPr>
        <w:t>”), with such termination contingent upon the Closing. As previously reported, pursuant to the terms of the ATM Sales Agreement, the Company could offer and sell up to $100.0 million of shares of its common stock, par value $0.0001 per share, from time to time through an “at the market” equity offering program under which Leerink would act as agent and/or principal.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3.01, Item 5.01 and Item 5.03 of this Current Report on Form 8-K is incorporated by reference into this Item 2.01.</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then outstanding (other than Shares (a) held by the Company or in the Company’s treasury (other than, in each case, Shares held in a fiduciary or agency capacity and beneficially owned by third parties), Parent, Purchaser, any other direct or indirect wholly owned subsidiary of Parent, or by stockholders of the Company who have properly exercised and perfected their statutory rights of appraisal under Delaware law, or (b) irrevocably accepted for purchase in the Offer (such Shares described in clause (a) and clause (b) of this paragraph, the “</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was cancelled and converted into the right to receive the Offer Price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(a) Company stock option (collectively,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xml:space="preserve">”) outstanding as of immediately prior to the Effective Time was automatically accelerated and became fully vested and exercisable immediately prior to, and contingent upon, the Effective Time and as of the Effective Time, each vested Option (after giving effect to such acceleration) that was outstanding and unexercised as of immediately before the Effective Time was automatically canceled and converted into the right to receive an amount in cash, without interest, equal to the product of (i) the total number of Shares subject to such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excess of the Merger Consideration over the exercise price payable per Share under such Option; (b) share of Company restricted stock outstanding as of immediately prior to the Effective time was automatically accelerated and became fully vested as of immediately prior to, and contingent upon, the Effective Time and was treated as a Share pursuant to the terms of the Merger Agreement; and</w:t>
      </w:r>
    </w:p>
    <w:p>
      <w:pPr>
        <w:spacing w:after="0" w:line="1" w:lineRule="exact"/>
        <w:rPr>
          <w:sz w:val="20"/>
          <w:szCs w:val="20"/>
          <w:color w:val="auto"/>
        </w:rPr>
      </w:pPr>
    </w:p>
    <w:p>
      <w:pPr>
        <w:jc w:val="both"/>
        <w:ind w:firstLine="8"/>
        <w:spacing w:after="0" w:line="253"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restricted stock unit award (collectively, the “</w:t>
      </w:r>
      <w:r>
        <w:rPr>
          <w:rFonts w:ascii="Times New Roman" w:cs="Times New Roman" w:eastAsia="Times New Roman" w:hAnsi="Times New Roman"/>
          <w:sz w:val="18"/>
          <w:szCs w:val="18"/>
          <w:b w:val="1"/>
          <w:bCs w:val="1"/>
          <w:i w:val="1"/>
          <w:iCs w:val="1"/>
          <w:color w:val="auto"/>
        </w:rPr>
        <w:t>RSU Awards</w:t>
      </w:r>
      <w:r>
        <w:rPr>
          <w:rFonts w:ascii="Times New Roman" w:cs="Times New Roman" w:eastAsia="Times New Roman" w:hAnsi="Times New Roman"/>
          <w:sz w:val="18"/>
          <w:szCs w:val="18"/>
          <w:color w:val="auto"/>
        </w:rPr>
        <w:t xml:space="preserve">”) outstanding as of immediately prior to the Effective Time, whether vested or unvested, was automatically cancelled and converted into the right to receive an amount in cash, without interest, equal to the product of (i) the total number of Shares issuable in settlement of such RSU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Each Option with an exercise price equal to or in excess of the Merger Consideration was automatically cancelled for no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into this Item 3.01.</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Offer and the Merger, on October 28, 2025, the Company requested that the Nasdaq Global Select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suspend the Shares from trading effective as of the open of trading on October 28, 2025, remove the Shares from listing on Nasdaq, and file with the SEC an application on Form 25 to report the delisting of the Shares from Nasdaq (the “</w:t>
      </w:r>
      <w:r>
        <w:rPr>
          <w:rFonts w:ascii="Times New Roman" w:cs="Times New Roman" w:eastAsia="Times New Roman" w:hAnsi="Times New Roman"/>
          <w:sz w:val="18"/>
          <w:szCs w:val="18"/>
          <w:b w:val="1"/>
          <w:bCs w:val="1"/>
          <w:i w:val="1"/>
          <w:iCs w:val="1"/>
          <w:color w:val="auto"/>
        </w:rPr>
        <w:t>Form 25</w:t>
      </w:r>
      <w:r>
        <w:rPr>
          <w:rFonts w:ascii="Times New Roman" w:cs="Times New Roman" w:eastAsia="Times New Roman" w:hAnsi="Times New Roman"/>
          <w:sz w:val="18"/>
          <w:szCs w:val="18"/>
          <w:color w:val="auto"/>
        </w:rPr>
        <w:t>”). After effectiveness of the Form 25, the Company intends to file with the SEC a Form 15 with respect to the Shares, requesting the deregistration of the Shares under Section 12(g) of the Exchange Act and the suspension of the Company’s reporting obligations under Sections 13 and 15(d)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Item 2.01, Item 3.01, Item 5.01 and Item 5.03 of this Current Report on Form 8-K is incorporated herein by reference into this Item 3.03.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and after the Effective Time, holders of Shares (other than Excluded Shares) immediately prior to such time ceased to have any rights as stockholders of the Company (other than their right to receive the Merger Consideration for each Share held, pursuant to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Item 2.01, Item 3.01, Item 3.03, Item 5.02 and Item 5.03 of this Current Report on Form 8-K is incorporated herein by reference into this Item 5.01.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Effective Time, the Company became an indirect wholly owned subsidiary of Parent. As a result of Purchaser’s acquisition of the Shares pursuant to the Offer and the consummation of the Merger, a change of control of the Company occurred. Purchaser obtained the funds necessary to fund the acquisition through a variety of sources, including cash on hand provided by Parent and its controlled affiliates.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and Item 2.01 of this Current Report on Form 8-K is incorporated herein by reference into this Item 5.02.</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immediately following and contingent upon the consummation of the Merger, Caley Castelein, M.D., Aaron Kantoff, Sandeep Kulkarni, M.D., Mark McDade, Clay Siegall, Ph.D., Sapna Srivastava, Ph.D., and Parvinder Thiara resigned from his or her position as a member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all committees thereof. Such resignations from the Board were in connection with the transactions contemplated by the Merger Agreement and were not a result of a disagreement with the Company on any matter relating to the Company’s operations, policies or practices or any other matter.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effective immediately following and contingent upon the consummation of the Merger, Sandeep Kulkarni, M.D., resigned as the Company’s Chief Executive Officer, Ryan Robinson resigned as the Company’s Chief Financial Officer, Brad Middlekauff, J.D., resigned as the Company’s Chief Business Officer and General Counsel, Susan Dana Jones, Ph.D., resigned as the Company’s Chief Technology Officer, and Kevin Johnson, Ph.D., resigned as the Company’s Chief Regulatory Officer. Such resignations were in connection with the transactions contemplated by the Merger Agreement and were not a result of a disagreement with the Company on any matter relating to the Company’s operations, policies or practices or any other matter.</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Effective Time, in connection with the Merger and in accordance with the terms of the Merger Agreement, the directors of Purchaser, John McKenna and Eduard Marti, became the directors of the Surviving Corporation. Also in connection with the Merger and in accordance with the terms of the Merger Agreement, the following individuals became the officers of the Surviving Corporation: (i) John McKenna was appointed to serve as the President of the Company and (ii) Eduard Marti was appointed to serve as Vice President and Treasurer of the Company. Biographical information regarding such individuals can be found in Schedule I of the Offer to Purchase, which was filed as Exhibit (a)(1)(i) to the Tender Offer Statement on Schedule TO filed by Parent and Purchaser with the SEC on September 29, 2025, as subsequently amended, which information is incorporated by reference into this Item 5.02.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Incorporations or Bylaws, Change in Fiscal Year.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and Item 2.01 of this Current Report on Form 8-K is incorporated herein by reference into this Item 5.03.</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Pursuant to the Merger Agreement, at the Effective Time, the certificate of incorporation of the Company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was amended and restated in its entirety. The Certificate of Incorporation is filed as Exhibit 3.1 to this Current Report on Form 8-K and is incorporated herein by reference.</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In addition, pursuant to the Merger Agreement, at the Effective Time, the Company’s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were amended and restated in their entirety. The Bylaws are filed as Exhibit 3.2 to this Current Report on Form 8-K and are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8"/>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60" w:type="dxa"/>
            <w:vAlign w:val="bottom"/>
          </w:tcPr>
          <w:p>
            <w:pPr>
              <w:spacing w:after="0"/>
              <w:rPr>
                <w:sz w:val="20"/>
                <w:szCs w:val="20"/>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top w:val="single" w:sz="8" w:color="auto"/>
            </w:tcBorders>
            <w:gridSpan w:val="4"/>
          </w:tcPr>
          <w:p>
            <w:pPr>
              <w:spacing w:after="0" w:line="169"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Agreement and Plan of Merger, dated as of September 8, 2025, by and among the Company, Parent and Purchaser (incorporated by reference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to Exhibit 2.1 of the Current Report of Form 8-K filed by the Company with the SEC on September 9, 2025)</w:t>
              </w:r>
            </w:hyperlink>
          </w:p>
        </w:tc>
        <w:tc>
          <w:tcPr>
            <w:tcW w:w="2500" w:type="dxa"/>
            <w:vAlign w:val="bottom"/>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Certificate of Incorporation of Tourmaline Bio, Inc. (filed herewith).</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Bylaws of Tourmaline Bio, Inc. (filed herewith).</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right="280" w:firstLine="8"/>
        <w:spacing w:after="0" w:line="282" w:lineRule="auto"/>
        <w:tabs>
          <w:tab w:leader="none" w:pos="1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exhibits and schedules have been omitted pursuant to Item 601(a)(5) of Regulation S-K. The Company hereby undertakes to provide copies of any of the omitted exhibits and schedules upon request by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Jaime Huertas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Jaime Huertas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20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“Tourmaline Bio,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Corporation’s registered office is Corporation Service Company, 251 Little Falls Drive, Wilmington, New Castle County, Delaware 19808. Corporation Service Company is the Corporation’s registered agent at that address.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Corporation shall have all power necessary or convenient to the conduct, promotion or attainment of such acts and activities.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authority to issue a total of 1,000 shares of common stock, par value $0.001 per share.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upon it by law, the Board of Directors of the Corporation is expressly authorized to adopt, amend or repeal the Bylaws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shall be such number as from time to time shall be fixed by, or in the manner provided in, the Bylaws of the Corporation. The election of directors of the Corporation need not be by written ballot.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Amended and Restated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left="652" w:hanging="652"/>
        <w:spacing w:after="0" w:line="254"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an officer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action brought by or in the right of the Corporation. If the DGCL is amended after the effective date of this Amended and Restated Certificate of Incorporation to authorize corporate action further eliminating or limiting the personal liability of officers, then the liability of an officer of the Corporation shall be eliminated or limited to the fullest extent permitted by the DGCL, as so amended.</w:t>
      </w:r>
    </w:p>
    <w:p>
      <w:pPr>
        <w:spacing w:after="0" w:line="19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Sections 7 and 8 by either of (a) the stockholders of the Corporation or (b) an amendment to the DGCL, shall not adversely affect any right or protection existing at the time of such amendment, repeal or modification with respect to any acts or omissions occurring before such amendment, repeal or modification of a person serving as a director or an officer at the time of such amendment, repeal or modification.</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elects not to be governed by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Tourmaline Bio,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established and maintained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office of Corporation Service Company, in the City of Wilmington, in the County of New Castle, in the State of Delaware, and said company shall be the registered agent of the Corporation in charge thereof.</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have other offices, either within or without the State of Delaware, at such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the Board of Directors may from time to time appoint or the business of the Corporation may require.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OF STOCKHOLDERS</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Annual Meetings. </w:t>
      </w:r>
      <w:r>
        <w:rPr>
          <w:rFonts w:ascii="Times New Roman" w:cs="Times New Roman" w:eastAsia="Times New Roman" w:hAnsi="Times New Roman"/>
          <w:sz w:val="18"/>
          <w:szCs w:val="18"/>
          <w:color w:val="auto"/>
        </w:rPr>
        <w:t>Annual meetings of stockholders for the election of directors, and for such other business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in the notice of the meeting, shall be held by means of remote communication or at such place, either within or without the State of Delaware, and at such time and date as the Board of Directors, by resolution, shall determine and as set forth in the notice of the meeting. In the event the Board of Directors fails to so determine the time, date or place of meeting, the annual meeting of stockholders shall be held at the offices of the Corporation on the last Tuesday of April at 10:30 a.m. local time.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date of the annual meeting shall fall upon a legal holiday, the meeting shall be held on the next business day. At each annual meeting, the stockholders entitled to vote shall elect a Board of Directors and they may transact such other corporate business as shall be stated in the notice of the meeting.</w:t>
      </w:r>
    </w:p>
    <w:p>
      <w:pPr>
        <w:spacing w:after="0" w:line="17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Other Meetings. </w:t>
      </w:r>
      <w:r>
        <w:rPr>
          <w:rFonts w:ascii="Times New Roman" w:cs="Times New Roman" w:eastAsia="Times New Roman" w:hAnsi="Times New Roman"/>
          <w:sz w:val="18"/>
          <w:szCs w:val="18"/>
          <w:color w:val="auto"/>
        </w:rPr>
        <w:t>Meetings of stockholders for any purpose other than the election of directors may be held by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communication or at such place, either within or without the State of Delaware, and at such time and date as shall be stated in the notice of meeting.</w:t>
      </w:r>
    </w:p>
    <w:p>
      <w:pPr>
        <w:spacing w:after="0" w:line="155" w:lineRule="exact"/>
        <w:rPr>
          <w:sz w:val="20"/>
          <w:szCs w:val="20"/>
          <w:color w:val="auto"/>
        </w:rPr>
      </w:pPr>
    </w:p>
    <w:p>
      <w:pPr>
        <w:jc w:val="both"/>
        <w:ind w:firstLine="1296"/>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3. Voting. </w:t>
      </w:r>
      <w:r>
        <w:rPr>
          <w:rFonts w:ascii="Times New Roman" w:cs="Times New Roman" w:eastAsia="Times New Roman" w:hAnsi="Times New Roman"/>
          <w:sz w:val="17"/>
          <w:szCs w:val="17"/>
          <w:color w:val="auto"/>
        </w:rPr>
        <w:t>Each stockholder entitled to vote in accordance with the terms of the Certificate of Incorporation and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provisions of these Bylaws shall be entitled to one vote, in person or by proxy, for each share of stock entitled to vote held by such stockholder, but no proxy shall be effective after three years from its date unless such proxy provides for a longer period. Upon the demand of any stockholder, the vote for directors and the vote upon any other question before the meeting shall be by ballot. All elections of directors shall be decided by plurality vote; all other questions shall be decided by majority vote except as otherwise provided by the Certificate of Incorporation or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Quorum. </w:t>
      </w:r>
      <w:r>
        <w:rPr>
          <w:rFonts w:ascii="Times New Roman" w:cs="Times New Roman" w:eastAsia="Times New Roman" w:hAnsi="Times New Roman"/>
          <w:sz w:val="18"/>
          <w:szCs w:val="18"/>
          <w:color w:val="auto"/>
        </w:rPr>
        <w:t>Except as otherwise required by law, by the Certificate of Incorporation or by these Bylaws, the presence,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or by proxy, of stockholders holding a majority of the stock of the Corporation entitled to vote shall constitute a quorum at all meetings of the stockholders. In case a quorum shall not be present at any meeting, a majority in interest of the stockholders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which might have been transacted at the meeting as originally noticed;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those stockholders entitled to vote at the meeting as originally noticed shall be entitled to vote at any adjournment or adjournments thereof.</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Special Meetings. </w:t>
      </w:r>
      <w:r>
        <w:rPr>
          <w:rFonts w:ascii="Times New Roman" w:cs="Times New Roman" w:eastAsia="Times New Roman" w:hAnsi="Times New Roman"/>
          <w:sz w:val="18"/>
          <w:szCs w:val="18"/>
          <w:color w:val="auto"/>
        </w:rPr>
        <w:t>Special meetings of the stockholders for any purpose or purposes may be called by the President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the Corporation or by resolution of the Board of Directors.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Notice of Meetings. </w:t>
      </w:r>
      <w:r>
        <w:rPr>
          <w:rFonts w:ascii="Times New Roman" w:cs="Times New Roman" w:eastAsia="Times New Roman" w:hAnsi="Times New Roman"/>
          <w:sz w:val="18"/>
          <w:szCs w:val="18"/>
          <w:color w:val="auto"/>
        </w:rPr>
        <w:t>Written notice, stating the place, date and time of the meeting, and the general nature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considered, shall be given to each stockholder entitled to vote thereat at his, her or its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 Action Without Meeting. </w:t>
      </w:r>
      <w:r>
        <w:rPr>
          <w:rFonts w:ascii="Times New Roman" w:cs="Times New Roman" w:eastAsia="Times New Roman" w:hAnsi="Times New Roman"/>
          <w:sz w:val="18"/>
          <w:szCs w:val="18"/>
          <w:color w:val="auto"/>
        </w:rPr>
        <w:t>Unless otherwise provided by the Certificate of Incorporation, any action required to be taken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annual or special meeting of stockholders, or any action which may be taken at any annual or special meeting,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8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Number and Term. </w:t>
      </w:r>
      <w:r>
        <w:rPr>
          <w:rFonts w:ascii="Times New Roman" w:cs="Times New Roman" w:eastAsia="Times New Roman" w:hAnsi="Times New Roman"/>
          <w:sz w:val="18"/>
          <w:szCs w:val="18"/>
          <w:color w:val="auto"/>
        </w:rPr>
        <w:t>The Board of Directors shall initially consist of two directors. Thereafter, the number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determined by the Board of Directors. The directors shall be elected at the annual meeting of the stockholders and each director shall be elected to serve until his or her successor shall be elected and qualified. Directors need not be stockholders.</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Resignations. </w:t>
      </w:r>
      <w:r>
        <w:rPr>
          <w:rFonts w:ascii="Times New Roman" w:cs="Times New Roman" w:eastAsia="Times New Roman" w:hAnsi="Times New Roman"/>
          <w:sz w:val="18"/>
          <w:szCs w:val="18"/>
          <w:color w:val="auto"/>
        </w:rPr>
        <w:t>Any director may resign at any time. Such resignation shall be made in writing and shall take effect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specified therein, or if no time is specified, at the time of its receipt by the President or Secretary of the Corporation. The acceptance of a resignation shall not be necessary to make it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Vacancies. </w:t>
      </w:r>
      <w:r>
        <w:rPr>
          <w:rFonts w:ascii="Times New Roman" w:cs="Times New Roman" w:eastAsia="Times New Roman" w:hAnsi="Times New Roman"/>
          <w:sz w:val="18"/>
          <w:szCs w:val="18"/>
          <w:color w:val="auto"/>
        </w:rPr>
        <w:t>Any newly created directorships resulting from an increase in the number of directors and any vacancies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resulting from death, resignation, retirement, disqualification, removal or other cause may be filled by a majority vote of the directors then in office, even if less than a quorum, or by the sole remaining director or by a majority vote of the stockholders of the Corporation.</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Removal. </w:t>
      </w:r>
      <w:r>
        <w:rPr>
          <w:rFonts w:ascii="Times New Roman" w:cs="Times New Roman" w:eastAsia="Times New Roman" w:hAnsi="Times New Roman"/>
          <w:sz w:val="18"/>
          <w:szCs w:val="18"/>
          <w:color w:val="auto"/>
        </w:rPr>
        <w:t>Any director may be removed, with or without cause, at any time by the affirmative vote of the holders 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a majority of the votes that all the stockholders of the Corporation would be entitled to cast in any election of director.</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Powers. </w:t>
      </w:r>
      <w:r>
        <w:rPr>
          <w:rFonts w:ascii="Times New Roman" w:cs="Times New Roman" w:eastAsia="Times New Roman" w:hAnsi="Times New Roman"/>
          <w:sz w:val="18"/>
          <w:szCs w:val="18"/>
          <w:color w:val="auto"/>
        </w:rPr>
        <w:t>The Board of Directors shall exercise all of the powers of the Corporation, except such as are by law,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 these Bylaws conferred upon or reserved to the stockholders.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Committees. </w:t>
      </w:r>
      <w:r>
        <w:rPr>
          <w:rFonts w:ascii="Times New Roman" w:cs="Times New Roman" w:eastAsia="Times New Roman" w:hAnsi="Times New Roman"/>
          <w:sz w:val="18"/>
          <w:szCs w:val="18"/>
          <w:color w:val="auto"/>
        </w:rPr>
        <w:t>The Board of Directors may designate one or more committees consisting of one or more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Board of Directors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Any such committee, to the extent provided in the resolution of the Board of Directors creating such committee or in these Bylaws, shall have and may exercise all the powers and authority of the Board of Directors in the management of the business and affairs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committee shall have the power or authority to (a) amend the Certificate of Incorporation, (b) adopt an agreement of merger or consolidation, (c) recommend to the stockholders the sale, lease or exchange of all or substantially all of the Corporation’s property and assets, (d) recommend to the stockholders a dissolution of the Corporation or a revocation of a dissolution or (e) amend the Bylaws of the Corporation.</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Meetings. </w:t>
      </w:r>
      <w:r>
        <w:rPr>
          <w:rFonts w:ascii="Times New Roman" w:cs="Times New Roman" w:eastAsia="Times New Roman" w:hAnsi="Times New Roman"/>
          <w:sz w:val="18"/>
          <w:szCs w:val="18"/>
          <w:color w:val="auto"/>
        </w:rPr>
        <w:t>Regular meetings of the Board of Directors may be held without notice at such places and times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the Board of Directors.</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Special meetings of the Board of Directors shall be held whenever called by any director or the President, by remote communication or at such place (within or without the State of Delaware), date and time as may be specified in the respective notice or waiver of notice of such meetings. Special meetings of the Board of Directors may be called on (i) 24 hours’ notice, if such notice is sent by email or other electronic transmission to each director or delivered to him or her personally or (ii) two business days’ notice, if such notice is mailed to each director, addressed to him or her at his or her usual place of business or other designated address. Notice of any special meeting need not be given to any director who attends such meeting without protesting the lack of notice to him or her, prior to or at the commencement of such meeting, or to any director who submits a signed waiver of notice (including by email or other electronic transmission), whether before or after such meeting. Any business may be conducted at a special meeting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by these Bylaws, members of the Board of Directors, or any committee designated by the Board of Directors, may participate in a meeting of the Board of Directors, or any such committee, by means of telephone conference, video conference or similar communications equipment by means of which all persons participating in the meeting can speak and hear each other and such participation in a meeting shall constitute presence in person at the meeting.</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Quorum. </w:t>
      </w:r>
      <w:r>
        <w:rPr>
          <w:rFonts w:ascii="Times New Roman" w:cs="Times New Roman" w:eastAsia="Times New Roman" w:hAnsi="Times New Roman"/>
          <w:sz w:val="18"/>
          <w:szCs w:val="18"/>
          <w:color w:val="auto"/>
        </w:rPr>
        <w:t>A majority of the directors shall constitute a quorum for the transaction of business. If at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there shall be less than a quorum present, a majority of those present may adjourn the meeting from time to time until a quorum is present and no further notice thereof need be given other than by announcement at the meeting which shall be so adjourned.</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 Compensation. </w:t>
      </w:r>
      <w:r>
        <w:rPr>
          <w:rFonts w:ascii="Times New Roman" w:cs="Times New Roman" w:eastAsia="Times New Roman" w:hAnsi="Times New Roman"/>
          <w:sz w:val="18"/>
          <w:szCs w:val="18"/>
          <w:color w:val="auto"/>
        </w:rPr>
        <w:t>Directors shall not receive any stated salary for their service as directors or as members of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p>
    <w:p>
      <w:pPr>
        <w:spacing w:after="0" w:line="17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 Action Without Meeting. </w:t>
      </w:r>
      <w:r>
        <w:rPr>
          <w:rFonts w:ascii="Times New Roman" w:cs="Times New Roman" w:eastAsia="Times New Roman" w:hAnsi="Times New Roman"/>
          <w:sz w:val="18"/>
          <w:szCs w:val="18"/>
          <w:color w:val="auto"/>
        </w:rPr>
        <w:t>Any action required or permitted to be taken at any meeting of the Board of Directors or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may be taken without a meeting if prior to such action a written consent thereto is signed by all members of the Board of Directors or of such committee, as the case may be, and such written consent is filed with the minutes of proceedings of the board or committee, as applicable.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Officers. </w:t>
      </w:r>
      <w:r>
        <w:rPr>
          <w:rFonts w:ascii="Times New Roman" w:cs="Times New Roman" w:eastAsia="Times New Roman" w:hAnsi="Times New Roman"/>
          <w:sz w:val="18"/>
          <w:szCs w:val="18"/>
          <w:color w:val="auto"/>
        </w:rPr>
        <w:t>The officers of the Corporation shall be a President, one or more Vice Presidents, a Treasurer and a Secretary,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whom shall be elected by the Board of Directors from time to time and who shall hold office until their successors are elected and qualified. In addition, the Board of Directors may elect a Chairman and one or more Assistant Secretaries and Assistant Treasurers as they may deem proper. None of the officers of the Corporation need be directors. The initial officers shall be elected concurrent with the adoption of these Bylaws. More than one office may be held by the same person.</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Resignations. </w:t>
      </w:r>
      <w:r>
        <w:rPr>
          <w:rFonts w:ascii="Times New Roman" w:cs="Times New Roman" w:eastAsia="Times New Roman" w:hAnsi="Times New Roman"/>
          <w:sz w:val="18"/>
          <w:szCs w:val="18"/>
          <w:color w:val="auto"/>
        </w:rPr>
        <w:t>Any officer may resign at any time. Such resignation shall be made in writing and shall take effect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specified therein, or if no time is specified, at the time of its receipt by the President, Secretary or Chairman of the Board of Directors of the Corporation. The acceptance of a resignation shall not be necessary to make it effective.</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Removal. </w:t>
      </w:r>
      <w:r>
        <w:rPr>
          <w:rFonts w:ascii="Times New Roman" w:cs="Times New Roman" w:eastAsia="Times New Roman" w:hAnsi="Times New Roman"/>
          <w:sz w:val="18"/>
          <w:szCs w:val="18"/>
          <w:color w:val="auto"/>
        </w:rPr>
        <w:t>Except as hereinafter provided, any officer or officers may be removed either for or without cause at any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Other Officers and Agents. </w:t>
      </w:r>
      <w:r>
        <w:rPr>
          <w:rFonts w:ascii="Times New Roman" w:cs="Times New Roman" w:eastAsia="Times New Roman" w:hAnsi="Times New Roman"/>
          <w:sz w:val="18"/>
          <w:szCs w:val="18"/>
          <w:color w:val="auto"/>
        </w:rPr>
        <w:t>The Board of Directors may appoint such other officers and agents as it may deem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shall hold their offices for such terms and shall exercise such powers and perform such duties as shall be determined from time to time by the Board of Directors.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Chairman. </w:t>
      </w:r>
      <w:r>
        <w:rPr>
          <w:rFonts w:ascii="Times New Roman" w:cs="Times New Roman" w:eastAsia="Times New Roman" w:hAnsi="Times New Roman"/>
          <w:sz w:val="18"/>
          <w:szCs w:val="18"/>
          <w:color w:val="auto"/>
        </w:rPr>
        <w:t>The Chairman of the Board of Directors, if one is elected, shall preside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he or she shall have and perform such other duties as from time to time may be assigned to him or her by the Board of Directors.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President. </w:t>
      </w:r>
      <w:r>
        <w:rPr>
          <w:rFonts w:ascii="Times New Roman" w:cs="Times New Roman" w:eastAsia="Times New Roman" w:hAnsi="Times New Roman"/>
          <w:sz w:val="18"/>
          <w:szCs w:val="18"/>
          <w:color w:val="auto"/>
        </w:rPr>
        <w:t>Subject to the provisions of these Bylaws and to the direction of the Board of Directors, the President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of the Corporation and shall have the responsibility for the general management and control of the business and affairs of the Corporation. The President shall perform all duties and have all powers which are commonly incident to the office of president or which are delegated to him or her by the Board of Directors. The President shall perform the duties and exercise the powers of the Treasurer in the event of a vacancy in the office of the Treasurer, or in the event of either such person’s absence or disability.</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 Vice President. </w:t>
      </w:r>
      <w:r>
        <w:rPr>
          <w:rFonts w:ascii="Times New Roman" w:cs="Times New Roman" w:eastAsia="Times New Roman" w:hAnsi="Times New Roman"/>
          <w:sz w:val="18"/>
          <w:szCs w:val="18"/>
          <w:color w:val="auto"/>
        </w:rPr>
        <w:t>Each Vice President shall have such powers and duties as may be delegated to him or her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One (1) Vice President may be designated by the Board of Directors (or its designee) to perform the duties and exercise the powers of the President in the event of the President’s absence or disability.</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 Treasurer. </w:t>
      </w:r>
      <w:r>
        <w:rPr>
          <w:rFonts w:ascii="Times New Roman" w:cs="Times New Roman" w:eastAsia="Times New Roman" w:hAnsi="Times New Roman"/>
          <w:sz w:val="18"/>
          <w:szCs w:val="18"/>
          <w:color w:val="auto"/>
        </w:rPr>
        <w:t>The Treasurer shall have the responsibility for maintaining the financial records of the Corporation. He or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make such disbursements of the funds of the Corporation as are authorized and shall render from time to time an account of all such transactions and of the financial condition of the Corporation. The Treasurer shall also perform such other duties as the Board of Directors (or its designee) may from time to time</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Secretary. </w:t>
      </w:r>
      <w:r>
        <w:rPr>
          <w:rFonts w:ascii="Times New Roman" w:cs="Times New Roman" w:eastAsia="Times New Roman" w:hAnsi="Times New Roman"/>
          <w:sz w:val="18"/>
          <w:szCs w:val="18"/>
          <w:color w:val="auto"/>
        </w:rPr>
        <w:t>The Secretary shall issue all authorized notices for, and shall keep minutes of, all meetings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Board of Directors. He or she shall have charge of the corporate books, shall have power to sign all stock certificates, and shall perform such other duties as the Board of Directors (or its designee) may from time to time prescribe.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1. Uncertificated Shares. </w:t>
      </w:r>
      <w:r>
        <w:rPr>
          <w:rFonts w:ascii="Times New Roman" w:cs="Times New Roman" w:eastAsia="Times New Roman" w:hAnsi="Times New Roman"/>
          <w:sz w:val="18"/>
          <w:szCs w:val="18"/>
          <w:color w:val="auto"/>
        </w:rPr>
        <w:t>Shares of the Corporation’s stock shall be issued in uncertificated form.</w:t>
      </w:r>
    </w:p>
    <w:p>
      <w:pPr>
        <w:spacing w:after="0" w:line="22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Transfer of Shares. </w:t>
      </w:r>
      <w:r>
        <w:rPr>
          <w:rFonts w:ascii="Times New Roman" w:cs="Times New Roman" w:eastAsia="Times New Roman" w:hAnsi="Times New Roman"/>
          <w:sz w:val="18"/>
          <w:szCs w:val="18"/>
          <w:color w:val="auto"/>
        </w:rPr>
        <w:t>The shares of stock of the Corporation shall be transferable only upon its books by the holders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person or by their duly authorized attorneys or legal representatives. A record shall be made of each transfer and, whenever a transfer shall be made for collateral security and not absolutely, it shall be so expressed in the entry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 Stockholders Record Date. </w:t>
      </w:r>
      <w:r>
        <w:rPr>
          <w:rFonts w:ascii="Times New Roman" w:cs="Times New Roman" w:eastAsia="Times New Roman" w:hAnsi="Times New Roman"/>
          <w:sz w:val="18"/>
          <w:szCs w:val="18"/>
          <w:color w:val="auto"/>
        </w:rPr>
        <w:t>In order that the Corporation may determine the stockholders entitled to notice of or to vote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or more than sixty days prior to any other action.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adjourned meeting.</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 Dividends. </w:t>
      </w:r>
      <w:r>
        <w:rPr>
          <w:rFonts w:ascii="Times New Roman" w:cs="Times New Roman" w:eastAsia="Times New Roman" w:hAnsi="Times New Roman"/>
          <w:sz w:val="18"/>
          <w:szCs w:val="18"/>
          <w:color w:val="auto"/>
        </w:rPr>
        <w:t>Subject to the provisions of the Certificate of Incorporation, the Board of Directors may, out of funds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therefor, declare dividends upon the capital stock of the Corporation as and when they deem expedient. Before declaring any dividend, there may be set apart out of any funds of the Corporation available for dividends such sum or sums as the Board of Directors from time to time in their discretion deem proper for working capital or as a reserve fund to meet contingencies or for equalizing dividends or for such other purposes as the Board of Directors deem to be in the best interests of the Corporation.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5. Fiscal Year. </w:t>
      </w:r>
      <w:r>
        <w:rPr>
          <w:rFonts w:ascii="Times New Roman" w:cs="Times New Roman" w:eastAsia="Times New Roman" w:hAnsi="Times New Roman"/>
          <w:sz w:val="18"/>
          <w:szCs w:val="18"/>
          <w:color w:val="auto"/>
        </w:rPr>
        <w:t>The fiscal year of the Corporation shall be determined by resolution of the Board of Directors.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Checks. </w:t>
      </w:r>
      <w:r>
        <w:rPr>
          <w:rFonts w:ascii="Times New Roman" w:cs="Times New Roman" w:eastAsia="Times New Roman" w:hAnsi="Times New Roman"/>
          <w:sz w:val="18"/>
          <w:szCs w:val="18"/>
          <w:color w:val="auto"/>
        </w:rPr>
        <w:t>All checks, drafts or other orders for the payment of money, notes or other evidences of indebtedness issued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shall be signed by such officer or officers or agent or agents of the Corporation and in such manner as shall be determined from time to time by resolutions of the Board of Directors.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 Notice and Waiver of Notice. </w:t>
      </w:r>
      <w:r>
        <w:rPr>
          <w:rFonts w:ascii="Times New Roman" w:cs="Times New Roman" w:eastAsia="Times New Roman" w:hAnsi="Times New Roman"/>
          <w:sz w:val="18"/>
          <w:szCs w:val="18"/>
          <w:color w:val="auto"/>
        </w:rPr>
        <w:t>Whenever any notice is required by these Bylaws to be given, personal notice is not meant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statute.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Whenever any notice whatsoever is required to be given under the provisions of any law or under the provisions of the Certificate of Incorporation or these Bylaws, a waiver thereof in writing signed by the person or persons entitled to said notice, whether before or after the time stated therein, shall be deemed equivalent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1. Definitions. </w:t>
      </w:r>
      <w:r>
        <w:rPr>
          <w:rFonts w:ascii="Times New Roman" w:cs="Times New Roman" w:eastAsia="Times New Roman" w:hAnsi="Times New Roman"/>
          <w:sz w:val="18"/>
          <w:szCs w:val="18"/>
          <w:color w:val="auto"/>
        </w:rPr>
        <w:t>For purposes of this Article:</w:t>
      </w:r>
    </w:p>
    <w:p>
      <w:pPr>
        <w:spacing w:after="0" w:line="225" w:lineRule="exact"/>
        <w:rPr>
          <w:sz w:val="20"/>
          <w:szCs w:val="20"/>
          <w:color w:val="auto"/>
        </w:rPr>
      </w:pPr>
    </w:p>
    <w:p>
      <w:pPr>
        <w:jc w:val="both"/>
        <w:ind w:firstLine="1304"/>
        <w:spacing w:after="0" w:line="255" w:lineRule="auto"/>
        <w:tabs>
          <w:tab w:leader="none" w:pos="15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of the Corporation;</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5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of the Corporation;</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b w:val="1"/>
          <w:bCs w:val="1"/>
          <w:color w:val="auto"/>
        </w:rPr>
        <w:t>SECTION 2. Indemnification of Directors and Officers.</w:t>
      </w:r>
    </w:p>
    <w:p>
      <w:pPr>
        <w:spacing w:after="0" w:line="229" w:lineRule="exact"/>
        <w:rPr>
          <w:sz w:val="20"/>
          <w:szCs w:val="20"/>
          <w:color w:val="auto"/>
        </w:rPr>
      </w:pPr>
    </w:p>
    <w:p>
      <w:pPr>
        <w:jc w:val="both"/>
        <w:ind w:left="-1120" w:firstLine="1304"/>
        <w:spacing w:after="0" w:line="261" w:lineRule="auto"/>
        <w:tabs>
          <w:tab w:leader="none" w:pos="4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9"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1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0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88" w:lineRule="exact"/>
        <w:rPr>
          <w:rFonts w:ascii="Times New Roman" w:cs="Times New Roman" w:eastAsia="Times New Roman" w:hAnsi="Times New Roman"/>
          <w:sz w:val="18"/>
          <w:szCs w:val="18"/>
          <w:color w:val="auto"/>
        </w:rPr>
      </w:pPr>
    </w:p>
    <w:p>
      <w:pPr>
        <w:ind w:left="-1120" w:firstLine="1952"/>
        <w:spacing w:after="0" w:line="282" w:lineRule="auto"/>
        <w:tabs>
          <w:tab w:leader="none" w:pos="10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8" w:lineRule="auto"/>
        <w:tabs>
          <w:tab w:leader="none" w:pos="10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419735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 w:name="page16"/>
    <w:bookmarkEnd w:id="15"/>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 Indemnification of Non-Officer Employees. </w:t>
      </w:r>
      <w:r>
        <w:rPr>
          <w:rFonts w:ascii="Times New Roman" w:cs="Times New Roman" w:eastAsia="Times New Roman" w:hAnsi="Times New Roman"/>
          <w:sz w:val="18"/>
          <w:szCs w:val="18"/>
          <w:color w:val="auto"/>
        </w:rPr>
        <w:t>Subject to the operation of Section 4 of this Article V of these Bylaws,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Determination. </w:t>
      </w:r>
      <w:r>
        <w:rPr>
          <w:rFonts w:ascii="Times New Roman" w:cs="Times New Roman" w:eastAsia="Times New Roman" w:hAnsi="Times New Roman"/>
          <w:sz w:val="18"/>
          <w:szCs w:val="18"/>
          <w:color w:val="auto"/>
        </w:rPr>
        <w:t>Unless ordered by a court, no indemnification shall be provided pursuant to this Article V to a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5. Advancement of Expenses to Directors Prior to Final Disposition.</w:t>
      </w:r>
    </w:p>
    <w:p>
      <w:pPr>
        <w:spacing w:after="0" w:line="229" w:lineRule="exact"/>
        <w:rPr>
          <w:sz w:val="20"/>
          <w:szCs w:val="20"/>
          <w:color w:val="auto"/>
        </w:rPr>
      </w:pPr>
    </w:p>
    <w:p>
      <w:pPr>
        <w:jc w:val="both"/>
        <w:ind w:firstLine="1304"/>
        <w:spacing w:after="0" w:line="254" w:lineRule="auto"/>
        <w:tabs>
          <w:tab w:leader="none" w:pos="15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1120" w:firstLine="1304"/>
        <w:spacing w:after="0" w:line="255" w:lineRule="auto"/>
        <w:tabs>
          <w:tab w:leader="none" w:pos="4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6. Advancement of Expenses to Officers and Non-Officer Employees Prior to Final Disposition.</w:t>
      </w:r>
    </w:p>
    <w:p>
      <w:pPr>
        <w:spacing w:after="0" w:line="229" w:lineRule="exact"/>
        <w:rPr>
          <w:sz w:val="20"/>
          <w:szCs w:val="20"/>
          <w:color w:val="auto"/>
        </w:rPr>
      </w:pPr>
    </w:p>
    <w:p>
      <w:pPr>
        <w:jc w:val="both"/>
        <w:ind w:left="-1120" w:firstLine="1304"/>
        <w:spacing w:after="0" w:line="255" w:lineRule="auto"/>
        <w:tabs>
          <w:tab w:leader="none" w:pos="4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jc w:val="both"/>
        <w:ind w:left="-1120" w:right="20" w:firstLine="1304"/>
        <w:spacing w:after="0" w:line="266" w:lineRule="auto"/>
        <w:tabs>
          <w:tab w:leader="none" w:pos="4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7. Contractual Nature of Rights.</w:t>
      </w:r>
    </w:p>
    <w:p>
      <w:pPr>
        <w:spacing w:after="0" w:line="229" w:lineRule="exact"/>
        <w:rPr>
          <w:sz w:val="20"/>
          <w:szCs w:val="20"/>
          <w:color w:val="auto"/>
        </w:rPr>
      </w:pPr>
    </w:p>
    <w:p>
      <w:pPr>
        <w:jc w:val="both"/>
        <w:ind w:left="-1120" w:firstLine="1304"/>
        <w:spacing w:after="0" w:line="253" w:lineRule="auto"/>
        <w:tabs>
          <w:tab w:leader="none" w:pos="4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firstLine="1304"/>
        <w:spacing w:after="0" w:line="255" w:lineRule="auto"/>
        <w:tabs>
          <w:tab w:leader="none" w:pos="15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Non-Exclusivity of Rights. </w:t>
      </w:r>
      <w:r>
        <w:rPr>
          <w:rFonts w:ascii="Times New Roman" w:cs="Times New Roman" w:eastAsia="Times New Roman" w:hAnsi="Times New Roman"/>
          <w:sz w:val="18"/>
          <w:szCs w:val="18"/>
          <w:color w:val="auto"/>
        </w:rPr>
        <w:t>The rights to indemnification and to advancement of Expenses set forth in this Article V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exclusive of any other right which any Director, Officer, or Non-Officer Employee may have or hereafter acquire under any statute, provision of the Certificate of Incorporation or these Bylaws, agreement, vote of stockholders or Disinterested Directors or otherwise.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 Insurance. </w:t>
      </w:r>
      <w:r>
        <w:rPr>
          <w:rFonts w:ascii="Times New Roman" w:cs="Times New Roman" w:eastAsia="Times New Roman" w:hAnsi="Times New Roman"/>
          <w:sz w:val="18"/>
          <w:szCs w:val="18"/>
          <w:color w:val="auto"/>
        </w:rPr>
        <w:t>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 Other Indemnification. </w:t>
      </w:r>
      <w:r>
        <w:rPr>
          <w:rFonts w:ascii="Times New Roman" w:cs="Times New Roman" w:eastAsia="Times New Roman" w:hAnsi="Times New Roman"/>
          <w:sz w:val="18"/>
          <w:szCs w:val="18"/>
          <w:color w:val="auto"/>
        </w:rPr>
        <w:t>The Corporation’s obligation, if any, to indemnify or provide advancement of Expenses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These Bylaws may be altered or repealed and Bylaws may be made (i) at any annual meeting of the stockholders (or at any special meeting thereof if notice of the proposed alteration or repeal or Bylaws to be made is contained in the notice of such special meeting) by the affirmative vote of a majority of the stock issued and outstanding and entitled to vote thereat or (ii) by the affirmative vote of a majority of the Board of Directors, at any regular meeting of the Board of Directors (or at any special meeting of the Board of Directors if notice of the proposed alteration or repeal or Bylaws to be made is contained in the notice of such special meeting) or (iii) by action of the stockholders or the Board of Directors without a meeting as permitted by the laws of the State of Delaware, the Certificate of Incorporation and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3"/>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lvl w:ilvl="1">
      <w:lvlJc w:val="left"/>
      <w:lvlText w:val="(%2)"/>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20" Type="http://schemas.openxmlformats.org/officeDocument/2006/relationships/hyperlink" Target="https://www.sec.gov/Archives/edgar/data/1827506/000119312525198747/d8007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2025-10-28T10:08:02Z</dcterms:created>
  <dcterms:modified xsi:type="dcterms:W3CDTF">2025-10-28T10:08:02Z</dcterms:modified>
</cp:coreProperties>
</file>